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3687B" w14:textId="77777777" w:rsidR="00011F98" w:rsidRPr="00011F98" w:rsidRDefault="004E6AF1" w:rsidP="00011F98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DAFBF49" wp14:editId="0CC9B0F5">
                <wp:simplePos x="0" y="0"/>
                <wp:positionH relativeFrom="margin">
                  <wp:posOffset>-175260</wp:posOffset>
                </wp:positionH>
                <wp:positionV relativeFrom="paragraph">
                  <wp:posOffset>4677410</wp:posOffset>
                </wp:positionV>
                <wp:extent cx="5572125" cy="990600"/>
                <wp:effectExtent l="0" t="0" r="9525" b="0"/>
                <wp:wrapSquare wrapText="bothSides" distT="45720" distB="4572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18D00" w14:textId="77777777" w:rsidR="00EB58D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C00000"/>
                                <w:sz w:val="52"/>
                              </w:rPr>
                              <w:t>GUÍA PARA EL AUTOR</w:t>
                            </w:r>
                          </w:p>
                          <w:p w14:paraId="5F3B2246" w14:textId="77777777" w:rsidR="00EB58D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C00000"/>
                                <w:sz w:val="52"/>
                              </w:rPr>
                              <w:t>DESARROLLO DE ARTÍCULOS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FBF49" id="Rectangle 9" o:spid="_x0000_s1026" style="position:absolute;left:0;text-align:left;margin-left:-13.8pt;margin-top:368.3pt;width:438.75pt;height:78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" stroked="f">
                <v:textbox inset="2.53958mm,1.2694mm,2.53958mm,1.2694mm">
                  <w:txbxContent>
                    <w:p w14:paraId="40718D00" w14:textId="77777777" w:rsidR="00EB58D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C00000"/>
                          <w:sz w:val="52"/>
                        </w:rPr>
                        <w:t>GUÍA PARA EL AUTOR</w:t>
                      </w:r>
                    </w:p>
                    <w:p w14:paraId="5F3B2246" w14:textId="77777777" w:rsidR="00EB58D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C00000"/>
                          <w:sz w:val="52"/>
                        </w:rPr>
                        <w:t>DESARROLLO DE ARTÍCULOS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34B238E" wp14:editId="01E52EB9">
            <wp:simplePos x="0" y="0"/>
            <wp:positionH relativeFrom="page">
              <wp:align>left</wp:align>
            </wp:positionH>
            <wp:positionV relativeFrom="paragraph">
              <wp:posOffset>-1419984</wp:posOffset>
            </wp:positionV>
            <wp:extent cx="7755015" cy="10035540"/>
            <wp:effectExtent l="0" t="0" r="0" b="381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5015" cy="1003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r w:rsidR="00011F98" w:rsidRPr="00011F98">
        <w:lastRenderedPageBreak/>
        <w:t xml:space="preserve">El presente documento tiene como finalidad servir como </w:t>
      </w:r>
      <w:r w:rsidR="00011F98" w:rsidRPr="00011F98">
        <w:rPr>
          <w:bCs/>
        </w:rPr>
        <w:t>guía para la escritura, estructura y formato</w:t>
      </w:r>
      <w:r w:rsidR="00011F98" w:rsidRPr="00011F98">
        <w:t xml:space="preserve"> de artículos técnicos y científicos a presentarse en el marco de las distintas ediciones del </w:t>
      </w:r>
      <w:r w:rsidR="00011F98" w:rsidRPr="00011F98">
        <w:rPr>
          <w:bCs/>
        </w:rPr>
        <w:t>Coloquio de Posgrado</w:t>
      </w:r>
      <w:r w:rsidR="00011F98" w:rsidRPr="00011F98">
        <w:t>. Se detallan los aspectos formales y de contenido requeridos para su correcta presentación.</w:t>
      </w:r>
    </w:p>
    <w:p w14:paraId="25AC1E9C" w14:textId="77777777" w:rsidR="00011F98" w:rsidRPr="00011F98" w:rsidRDefault="00011F98" w:rsidP="00011F98">
      <w:pPr>
        <w:jc w:val="both"/>
      </w:pPr>
      <w:r w:rsidRPr="00011F98">
        <w:t xml:space="preserve">Todos los trabajos serán sometidos a un proceso de </w:t>
      </w:r>
      <w:r w:rsidRPr="00011F98">
        <w:rPr>
          <w:b/>
          <w:bCs/>
        </w:rPr>
        <w:t xml:space="preserve">revisión por pares (peer </w:t>
      </w:r>
      <w:proofErr w:type="spellStart"/>
      <w:r w:rsidRPr="00011F98">
        <w:rPr>
          <w:b/>
          <w:bCs/>
        </w:rPr>
        <w:t>review</w:t>
      </w:r>
      <w:proofErr w:type="spellEnd"/>
      <w:r w:rsidRPr="00011F98">
        <w:rPr>
          <w:b/>
          <w:bCs/>
        </w:rPr>
        <w:t>)</w:t>
      </w:r>
      <w:r w:rsidRPr="00011F98">
        <w:t xml:space="preserve"> con al menos </w:t>
      </w:r>
      <w:r w:rsidRPr="00011F98">
        <w:rPr>
          <w:b/>
          <w:bCs/>
        </w:rPr>
        <w:t>tres revisores independientes</w:t>
      </w:r>
      <w:r w:rsidRPr="00011F98">
        <w:t xml:space="preserve"> por manuscrito, como parte del procedimiento estándar de evaluación y calidad editorial.</w:t>
      </w:r>
    </w:p>
    <w:p w14:paraId="6FD0C8E7" w14:textId="3AF00560" w:rsidR="00EB58D1" w:rsidRDefault="00011F98" w:rsidP="00011F98">
      <w:pPr>
        <w:jc w:val="both"/>
      </w:pPr>
      <w:r w:rsidRPr="00011F98">
        <w:t xml:space="preserve">Los artículos deberán tener una </w:t>
      </w:r>
      <w:r w:rsidRPr="00011F98">
        <w:rPr>
          <w:b/>
          <w:bCs/>
        </w:rPr>
        <w:t>extensión mínima de 8 y máxima de 15 páginas de contenido</w:t>
      </w:r>
      <w:r w:rsidRPr="00011F98">
        <w:t xml:space="preserve">, </w:t>
      </w:r>
      <w:r w:rsidRPr="00011F98">
        <w:rPr>
          <w:b/>
          <w:bCs/>
        </w:rPr>
        <w:t>sin contar las referencias</w:t>
      </w:r>
      <w:r w:rsidRPr="00011F98">
        <w:t>, e incluir figuras, tablas y apéndices dentro del límite establecido. Se permite también la integración de secciones opcionales como declaración ética, disponibilidad de datos, contribución de autores y uso de inteligencia artificial, en concordancia con buenas prácticas de publicación académica.</w:t>
      </w:r>
    </w:p>
    <w:p w14:paraId="7BF3E20E" w14:textId="41879630" w:rsidR="00EB58D1" w:rsidRDefault="00000000">
      <w:pPr>
        <w:spacing w:after="0" w:line="240" w:lineRule="auto"/>
        <w:ind w:firstLine="709"/>
        <w:jc w:val="both"/>
      </w:pPr>
      <w:r>
        <w:rPr>
          <w:b/>
          <w:u w:val="single"/>
        </w:rPr>
        <w:t xml:space="preserve">NOTA: </w:t>
      </w:r>
      <w:r w:rsidR="00011F98" w:rsidRPr="00011F98">
        <w:t xml:space="preserve">Únicamente se recibirán </w:t>
      </w:r>
      <w:r w:rsidR="00011F98" w:rsidRPr="00011F98">
        <w:rPr>
          <w:b/>
          <w:bCs/>
        </w:rPr>
        <w:t>archivos en formato PDF</w:t>
      </w:r>
      <w:r w:rsidR="00011F98" w:rsidRPr="00011F98">
        <w:t xml:space="preserve"> que </w:t>
      </w:r>
      <w:r w:rsidR="00011F98" w:rsidRPr="00011F98">
        <w:rPr>
          <w:b/>
          <w:bCs/>
        </w:rPr>
        <w:t>no incluyan nombres de autores ni afiliaciones institucionales</w:t>
      </w:r>
      <w:r w:rsidR="00011F98" w:rsidRPr="00011F98">
        <w:t xml:space="preserve">. Esta medida tiene como objetivo garantizar un proceso de </w:t>
      </w:r>
      <w:r w:rsidR="00011F98" w:rsidRPr="00011F98">
        <w:rPr>
          <w:b/>
          <w:bCs/>
        </w:rPr>
        <w:t>revisión por pares doble ciego</w:t>
      </w:r>
      <w:r w:rsidR="00011F98" w:rsidRPr="00011F98">
        <w:t xml:space="preserve">, asegurando la </w:t>
      </w:r>
      <w:r w:rsidR="00011F98" w:rsidRPr="00011F98">
        <w:rPr>
          <w:b/>
          <w:bCs/>
        </w:rPr>
        <w:t>imparcialidad y objetividad</w:t>
      </w:r>
      <w:r w:rsidR="00011F98" w:rsidRPr="00011F98">
        <w:t xml:space="preserve"> en la evaluación de los manuscritos.</w:t>
      </w:r>
    </w:p>
    <w:p w14:paraId="56343BD4" w14:textId="77777777" w:rsidR="00EB58D1" w:rsidRDefault="00EB58D1">
      <w:pPr>
        <w:spacing w:after="0" w:line="240" w:lineRule="auto"/>
        <w:ind w:firstLine="709"/>
        <w:jc w:val="both"/>
      </w:pPr>
    </w:p>
    <w:p w14:paraId="2CE820E3" w14:textId="77777777" w:rsidR="00EB58D1" w:rsidRDefault="00EB58D1">
      <w:pPr>
        <w:spacing w:after="0" w:line="240" w:lineRule="auto"/>
        <w:ind w:firstLine="709"/>
        <w:jc w:val="both"/>
      </w:pPr>
    </w:p>
    <w:p w14:paraId="60427B61" w14:textId="77777777" w:rsidR="00EB58D1" w:rsidRPr="00011F98" w:rsidRDefault="00000000" w:rsidP="00FB3EC6">
      <w:pPr>
        <w:spacing w:after="0" w:line="240" w:lineRule="auto"/>
        <w:ind w:firstLine="709"/>
        <w:rPr>
          <w:b/>
          <w:sz w:val="28"/>
          <w:szCs w:val="28"/>
          <w:u w:val="single"/>
        </w:rPr>
      </w:pPr>
      <w:r w:rsidRPr="00011F98">
        <w:rPr>
          <w:b/>
          <w:sz w:val="28"/>
          <w:szCs w:val="28"/>
          <w:u w:val="single"/>
        </w:rPr>
        <w:t>Estructura del artículo:</w:t>
      </w:r>
    </w:p>
    <w:p w14:paraId="1EEC5699" w14:textId="77777777" w:rsidR="00011F98" w:rsidRPr="00011F98" w:rsidRDefault="00011F98" w:rsidP="00011F98">
      <w:pPr>
        <w:spacing w:after="0" w:line="240" w:lineRule="auto"/>
        <w:jc w:val="both"/>
        <w:rPr>
          <w:bCs/>
        </w:rPr>
      </w:pPr>
      <w:r w:rsidRPr="00011F98">
        <w:rPr>
          <w:bCs/>
        </w:rPr>
        <w:t>Los trabajos deberán seguir la siguiente estructura y cumplir con las especificaciones de contenido y formato descritas en esta plantilla. La extensión total del artículo deberá ser mínima de 8 y máxima de 15 páginas de contenido, sin contar las referencias. Para trabajos en formato póster, el límite será de 4 páginas.</w:t>
      </w:r>
    </w:p>
    <w:p w14:paraId="6BC3002C" w14:textId="77777777" w:rsidR="00011F98" w:rsidRPr="00011F98" w:rsidRDefault="00011F98" w:rsidP="00011F98">
      <w:pPr>
        <w:spacing w:after="0" w:line="240" w:lineRule="auto"/>
        <w:jc w:val="both"/>
        <w:rPr>
          <w:bCs/>
        </w:rPr>
      </w:pPr>
      <w:r w:rsidRPr="00011F98">
        <w:rPr>
          <w:bCs/>
        </w:rPr>
        <w:t>Elementos estructurales del manuscrito:</w:t>
      </w:r>
    </w:p>
    <w:p w14:paraId="32EA9AF6" w14:textId="77777777" w:rsidR="00011F98" w:rsidRPr="00011F98" w:rsidRDefault="00011F98" w:rsidP="00011F98">
      <w:pPr>
        <w:numPr>
          <w:ilvl w:val="0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Título en español: Máximo 15 palabras. Debe ser claro y conciso. Evitar el uso de fórmulas o abreviaciones. Fuente Calibri 14, negrita y centrado.</w:t>
      </w:r>
    </w:p>
    <w:p w14:paraId="6D479652" w14:textId="77777777" w:rsidR="00011F98" w:rsidRPr="00011F98" w:rsidRDefault="00011F98" w:rsidP="00011F98">
      <w:pPr>
        <w:numPr>
          <w:ilvl w:val="0"/>
          <w:numId w:val="5"/>
        </w:numPr>
        <w:spacing w:after="0" w:line="240" w:lineRule="auto"/>
        <w:jc w:val="both"/>
        <w:rPr>
          <w:bCs/>
        </w:rPr>
      </w:pPr>
      <w:proofErr w:type="spellStart"/>
      <w:r w:rsidRPr="00011F98">
        <w:rPr>
          <w:bCs/>
        </w:rPr>
        <w:t>Title</w:t>
      </w:r>
      <w:proofErr w:type="spellEnd"/>
      <w:r w:rsidRPr="00011F98">
        <w:rPr>
          <w:bCs/>
        </w:rPr>
        <w:t xml:space="preserve"> in English: Versión en inglés del título, sin negritas. Fuente Calibri 14 y centrado.</w:t>
      </w:r>
    </w:p>
    <w:p w14:paraId="6E5EC883" w14:textId="77777777" w:rsidR="00011F98" w:rsidRPr="00011F98" w:rsidRDefault="00011F98" w:rsidP="00011F98">
      <w:pPr>
        <w:numPr>
          <w:ilvl w:val="0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Autores y afiliaciones: Se indicarán únicamente en la versión final tras la aceptación. Durante la revisión, el archivo deberá omitirse esta información para asegurar evaluación doble ciego.</w:t>
      </w:r>
    </w:p>
    <w:p w14:paraId="453F4C31" w14:textId="77777777" w:rsidR="00011F98" w:rsidRPr="00011F98" w:rsidRDefault="00011F98" w:rsidP="00011F98">
      <w:pPr>
        <w:numPr>
          <w:ilvl w:val="0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 xml:space="preserve">Resumen / </w:t>
      </w:r>
      <w:proofErr w:type="spellStart"/>
      <w:r w:rsidRPr="00011F98">
        <w:rPr>
          <w:bCs/>
        </w:rPr>
        <w:t>Abstract</w:t>
      </w:r>
      <w:proofErr w:type="spellEnd"/>
      <w:r w:rsidRPr="00011F98">
        <w:rPr>
          <w:bCs/>
        </w:rPr>
        <w:t>:</w:t>
      </w:r>
    </w:p>
    <w:p w14:paraId="285ABE5B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Redactado en un solo párrafo en español y en inglés.</w:t>
      </w:r>
    </w:p>
    <w:p w14:paraId="3C4578A2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Extensión máxima de 250 palabras.</w:t>
      </w:r>
    </w:p>
    <w:p w14:paraId="5031B4F2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Debe incluir: objetivo del trabajo, metodología, resultados principales y conclusiones.</w:t>
      </w:r>
    </w:p>
    <w:p w14:paraId="1DF77671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Escrito en tono impersonal y pretérito, sin abreviaturas, citas, fórmulas ni referencias bibliográficas.</w:t>
      </w:r>
    </w:p>
    <w:p w14:paraId="39878E50" w14:textId="77777777" w:rsidR="00011F98" w:rsidRPr="00011F98" w:rsidRDefault="00011F98" w:rsidP="00011F98">
      <w:pPr>
        <w:numPr>
          <w:ilvl w:val="0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 xml:space="preserve">Palabras clave / </w:t>
      </w:r>
      <w:proofErr w:type="spellStart"/>
      <w:r w:rsidRPr="00011F98">
        <w:rPr>
          <w:bCs/>
        </w:rPr>
        <w:t>Keywords</w:t>
      </w:r>
      <w:proofErr w:type="spellEnd"/>
      <w:r w:rsidRPr="00011F98">
        <w:rPr>
          <w:bCs/>
        </w:rPr>
        <w:t>:</w:t>
      </w:r>
    </w:p>
    <w:p w14:paraId="206B74EC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Máximo de 5 palabras clave en español y en inglés, separadas por punto y coma.</w:t>
      </w:r>
    </w:p>
    <w:p w14:paraId="55713DC0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La primera palabra clave debe corresponder a la clave del área temática del trabajo (ver Tabla 1).</w:t>
      </w:r>
    </w:p>
    <w:p w14:paraId="745ADB8B" w14:textId="77777777" w:rsidR="00011F98" w:rsidRPr="00011F98" w:rsidRDefault="00011F98" w:rsidP="00011F98">
      <w:pPr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 xml:space="preserve">Utilizar términos del Tesauro de la UNESCO: </w:t>
      </w:r>
      <w:hyperlink r:id="rId9" w:tgtFrame="_new" w:history="1">
        <w:r w:rsidRPr="00011F98">
          <w:rPr>
            <w:rStyle w:val="Hipervnculo"/>
            <w:bCs/>
            <w:u w:val="none"/>
          </w:rPr>
          <w:t>https://vocabularies.unesco.org/browser/thesaurus/es</w:t>
        </w:r>
      </w:hyperlink>
    </w:p>
    <w:p w14:paraId="5CA559CE" w14:textId="77777777" w:rsidR="00011F98" w:rsidRPr="00011F98" w:rsidRDefault="00011F98" w:rsidP="00011F98">
      <w:pPr>
        <w:spacing w:after="0" w:line="240" w:lineRule="auto"/>
        <w:jc w:val="both"/>
        <w:rPr>
          <w:bCs/>
        </w:rPr>
      </w:pPr>
      <w:r w:rsidRPr="00011F98">
        <w:rPr>
          <w:bCs/>
        </w:rPr>
        <w:t>Secciones principales:</w:t>
      </w:r>
    </w:p>
    <w:p w14:paraId="4E732CD8" w14:textId="77777777" w:rsidR="00011F98" w:rsidRPr="00011F98" w:rsidRDefault="00011F98" w:rsidP="00011F98">
      <w:pPr>
        <w:numPr>
          <w:ilvl w:val="0"/>
          <w:numId w:val="6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1. Introducción</w:t>
      </w:r>
      <w:r w:rsidRPr="00011F98">
        <w:rPr>
          <w:bCs/>
        </w:rPr>
        <w:br/>
        <w:t>Presenta el contexto general, estado del arte, justificación del estudio, objetivos específicos y la estructura general del artículo.</w:t>
      </w:r>
    </w:p>
    <w:p w14:paraId="338C41B9" w14:textId="77777777" w:rsidR="00011F98" w:rsidRPr="00011F98" w:rsidRDefault="00011F98" w:rsidP="00011F98">
      <w:pPr>
        <w:numPr>
          <w:ilvl w:val="0"/>
          <w:numId w:val="6"/>
        </w:numPr>
        <w:spacing w:after="0" w:line="240" w:lineRule="auto"/>
        <w:jc w:val="both"/>
        <w:rPr>
          <w:bCs/>
        </w:rPr>
      </w:pPr>
      <w:r w:rsidRPr="00011F98">
        <w:rPr>
          <w:bCs/>
        </w:rPr>
        <w:lastRenderedPageBreak/>
        <w:t>2. Materiales y métodos</w:t>
      </w:r>
      <w:r w:rsidRPr="00011F98">
        <w:rPr>
          <w:bCs/>
        </w:rPr>
        <w:br/>
        <w:t>Describe con precisión los equipos, técnicas, condiciones experimentales, algoritmos y procedimientos empleados. Debe permitir la replicabilidad del estudio. Evitar extensas explicaciones teóricas.</w:t>
      </w:r>
    </w:p>
    <w:p w14:paraId="26C21539" w14:textId="77777777" w:rsidR="00011F98" w:rsidRPr="00011F98" w:rsidRDefault="00011F98" w:rsidP="00011F98">
      <w:pPr>
        <w:numPr>
          <w:ilvl w:val="0"/>
          <w:numId w:val="6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3. Resultados</w:t>
      </w:r>
      <w:r w:rsidRPr="00011F98">
        <w:rPr>
          <w:bCs/>
        </w:rPr>
        <w:br/>
        <w:t>Presentación clara, objetiva y ordenada de los hallazgos sin interpretación. Usar figuras, tablas y gráficas con títulos y referencias apropiadas. No repetir en texto lo que se muestra en gráficos.</w:t>
      </w:r>
    </w:p>
    <w:p w14:paraId="7EB4FC54" w14:textId="77777777" w:rsidR="00011F98" w:rsidRPr="00011F98" w:rsidRDefault="00011F98" w:rsidP="00011F98">
      <w:pPr>
        <w:numPr>
          <w:ilvl w:val="0"/>
          <w:numId w:val="6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4. Discusión</w:t>
      </w:r>
      <w:r w:rsidRPr="00011F98">
        <w:rPr>
          <w:bCs/>
        </w:rPr>
        <w:br/>
        <w:t>Análisis e interpretación crítica de los resultados, comparación con literatura previa, identificación de limitaciones y proyección de líneas futuras de investigación. Puede combinarse con la sección de Resultados si el contenido lo requiere.</w:t>
      </w:r>
    </w:p>
    <w:p w14:paraId="00410D71" w14:textId="77777777" w:rsidR="00011F98" w:rsidRPr="00011F98" w:rsidRDefault="00011F98" w:rsidP="00011F98">
      <w:pPr>
        <w:numPr>
          <w:ilvl w:val="0"/>
          <w:numId w:val="6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5. Conclusiones</w:t>
      </w:r>
      <w:r w:rsidRPr="00011F98">
        <w:rPr>
          <w:bCs/>
        </w:rPr>
        <w:br/>
        <w:t>Deben estar relacionadas con los objetivos. Presentar los principales hallazgos, aportes, implicaciones, limitaciones y, si aplica, recomendaciones.</w:t>
      </w:r>
    </w:p>
    <w:p w14:paraId="5AAD6351" w14:textId="77777777" w:rsidR="00011F98" w:rsidRPr="00011F98" w:rsidRDefault="00011F98" w:rsidP="00011F98">
      <w:pPr>
        <w:spacing w:after="0" w:line="240" w:lineRule="auto"/>
        <w:jc w:val="both"/>
        <w:rPr>
          <w:bCs/>
        </w:rPr>
      </w:pPr>
      <w:r w:rsidRPr="00011F98">
        <w:rPr>
          <w:bCs/>
        </w:rPr>
        <w:t>Secciones opcionales:</w:t>
      </w:r>
    </w:p>
    <w:p w14:paraId="48C80E44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Patentes: Solo si hay una patente derivada del trabajo.</w:t>
      </w:r>
    </w:p>
    <w:p w14:paraId="3DD827E3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Fuentes de financiamiento: Mencionar proyectos, fondos o becas que hayan contribuido al desarrollo del trabajo.</w:t>
      </w:r>
    </w:p>
    <w:p w14:paraId="287EF97F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Agradecimientos: Reconocimiento de apoyos técnicos, administrativos o donaciones en especie.</w:t>
      </w:r>
    </w:p>
    <w:p w14:paraId="2A36424C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Uso de herramientas de IA (</w:t>
      </w:r>
      <w:proofErr w:type="spellStart"/>
      <w:r w:rsidRPr="00011F98">
        <w:rPr>
          <w:bCs/>
        </w:rPr>
        <w:t>GenAI</w:t>
      </w:r>
      <w:proofErr w:type="spellEnd"/>
      <w:r w:rsidRPr="00011F98">
        <w:rPr>
          <w:bCs/>
        </w:rPr>
        <w:t>):</w:t>
      </w:r>
      <w:r w:rsidRPr="00011F98">
        <w:rPr>
          <w:bCs/>
        </w:rPr>
        <w:br/>
        <w:t>Si se utilizó una herramienta de IA generativa, añadir:</w:t>
      </w:r>
      <w:r w:rsidRPr="00011F98">
        <w:rPr>
          <w:bCs/>
        </w:rPr>
        <w:br/>
      </w:r>
      <w:r w:rsidRPr="00011F98">
        <w:rPr>
          <w:bCs/>
          <w:i/>
          <w:iCs/>
        </w:rPr>
        <w:t>“Durante la preparación de este manuscrito, los autores utilizaron [nombre y versión de la herramienta] con el propósito de [describir uso]. Los autores revisaron y editaron el contenido generado y asumen plena responsabilidad por el contenido de esta publicación.”</w:t>
      </w:r>
    </w:p>
    <w:p w14:paraId="7E9A2A2F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Conflictos de interés: Declarar si existen o no conflictos. Ejemplo:</w:t>
      </w:r>
      <w:r w:rsidRPr="00011F98">
        <w:rPr>
          <w:bCs/>
        </w:rPr>
        <w:br/>
      </w:r>
      <w:r w:rsidRPr="00011F98">
        <w:rPr>
          <w:bCs/>
          <w:i/>
          <w:iCs/>
        </w:rPr>
        <w:t>“Los autores declaran que no existen conflictos de interés.”</w:t>
      </w:r>
    </w:p>
    <w:p w14:paraId="7B513F56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Abreviaturas: Incluir al final del manuscrito si se usaron siglas técnicas. Deben definirse la primera vez que aparecen en el texto.</w:t>
      </w:r>
    </w:p>
    <w:p w14:paraId="76F7C697" w14:textId="77777777" w:rsidR="00011F98" w:rsidRPr="00011F98" w:rsidRDefault="00011F98" w:rsidP="00011F98">
      <w:pPr>
        <w:numPr>
          <w:ilvl w:val="0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Referencias bibliográficas:</w:t>
      </w:r>
    </w:p>
    <w:p w14:paraId="1A8A94E8" w14:textId="77777777" w:rsidR="00011F98" w:rsidRPr="00011F98" w:rsidRDefault="00011F98" w:rsidP="00011F98">
      <w:pPr>
        <w:numPr>
          <w:ilvl w:val="1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Estilo numérico entre corchetes: [1], [2], etc.</w:t>
      </w:r>
    </w:p>
    <w:p w14:paraId="517F3A1C" w14:textId="77777777" w:rsidR="00011F98" w:rsidRPr="00011F98" w:rsidRDefault="00011F98" w:rsidP="00011F98">
      <w:pPr>
        <w:numPr>
          <w:ilvl w:val="1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En títulos, solo se capitaliza la primera palabra y los nombres propios.</w:t>
      </w:r>
    </w:p>
    <w:p w14:paraId="18E515FF" w14:textId="77777777" w:rsidR="00011F98" w:rsidRPr="00011F98" w:rsidRDefault="00011F98" w:rsidP="00011F98">
      <w:pPr>
        <w:numPr>
          <w:ilvl w:val="1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No se debe usar “et al.” salvo en trabajos con más de seis autores.</w:t>
      </w:r>
    </w:p>
    <w:p w14:paraId="2789989A" w14:textId="77777777" w:rsidR="00011F98" w:rsidRPr="00011F98" w:rsidRDefault="00011F98" w:rsidP="00011F98">
      <w:pPr>
        <w:numPr>
          <w:ilvl w:val="1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Las referencias se ordenan por orden de aparición.</w:t>
      </w:r>
    </w:p>
    <w:p w14:paraId="64B011ED" w14:textId="77777777" w:rsidR="00011F98" w:rsidRPr="00011F98" w:rsidRDefault="00011F98" w:rsidP="00011F98">
      <w:pPr>
        <w:numPr>
          <w:ilvl w:val="1"/>
          <w:numId w:val="7"/>
        </w:numPr>
        <w:spacing w:after="0" w:line="240" w:lineRule="auto"/>
        <w:jc w:val="both"/>
        <w:rPr>
          <w:bCs/>
        </w:rPr>
      </w:pPr>
      <w:r w:rsidRPr="00011F98">
        <w:rPr>
          <w:bCs/>
        </w:rPr>
        <w:t>Incluir todos los datos: autores, título, revista, volumen, páginas y año.</w:t>
      </w:r>
    </w:p>
    <w:p w14:paraId="51ACA3F6" w14:textId="77777777" w:rsidR="00011F98" w:rsidRPr="00011F98" w:rsidRDefault="00011F98" w:rsidP="00011F98">
      <w:pPr>
        <w:numPr>
          <w:ilvl w:val="1"/>
          <w:numId w:val="7"/>
        </w:numPr>
        <w:spacing w:after="0" w:line="240" w:lineRule="auto"/>
        <w:jc w:val="both"/>
        <w:rPr>
          <w:bCs/>
          <w:lang w:val="en-US"/>
        </w:rPr>
      </w:pPr>
      <w:proofErr w:type="spellStart"/>
      <w:r w:rsidRPr="00011F98">
        <w:rPr>
          <w:bCs/>
          <w:lang w:val="en-US"/>
        </w:rPr>
        <w:t>Ejemplo</w:t>
      </w:r>
      <w:proofErr w:type="spellEnd"/>
      <w:r w:rsidRPr="00011F98">
        <w:rPr>
          <w:bCs/>
          <w:lang w:val="en-US"/>
        </w:rPr>
        <w:t>:</w:t>
      </w:r>
      <w:r w:rsidRPr="00011F98">
        <w:rPr>
          <w:bCs/>
          <w:lang w:val="en-US"/>
        </w:rPr>
        <w:br/>
        <w:t xml:space="preserve">[1] Y. Li, S. Zhu, Q. Liu, Z. Chen, J. Gu and J. Ma, "N-doped porous carbon with magnetic particles formed in situ for enhanced Cr (VI) removal," </w:t>
      </w:r>
      <w:r w:rsidRPr="00011F98">
        <w:rPr>
          <w:bCs/>
          <w:i/>
          <w:iCs/>
          <w:lang w:val="en-US"/>
        </w:rPr>
        <w:t>Water Res.</w:t>
      </w:r>
      <w:r w:rsidRPr="00011F98">
        <w:rPr>
          <w:bCs/>
          <w:lang w:val="en-US"/>
        </w:rPr>
        <w:t>, no. 47, pp. 4188–4197, 2013.</w:t>
      </w:r>
    </w:p>
    <w:p w14:paraId="504A82D4" w14:textId="77777777" w:rsidR="00EB58D1" w:rsidRPr="00011F98" w:rsidRDefault="00EB58D1">
      <w:pPr>
        <w:spacing w:after="0" w:line="240" w:lineRule="auto"/>
        <w:jc w:val="both"/>
        <w:rPr>
          <w:bCs/>
          <w:lang w:val="en-US"/>
        </w:rPr>
      </w:pPr>
    </w:p>
    <w:p w14:paraId="017B1E19" w14:textId="77777777" w:rsidR="00011F98" w:rsidRPr="00011F98" w:rsidRDefault="00011F98">
      <w:pPr>
        <w:spacing w:after="0" w:line="240" w:lineRule="auto"/>
        <w:jc w:val="both"/>
        <w:rPr>
          <w:b/>
          <w:lang w:val="en-US"/>
        </w:rPr>
      </w:pPr>
    </w:p>
    <w:p w14:paraId="5281CFFE" w14:textId="77777777" w:rsidR="00011F98" w:rsidRPr="00011F98" w:rsidRDefault="00011F98">
      <w:pPr>
        <w:spacing w:after="0" w:line="240" w:lineRule="auto"/>
        <w:jc w:val="both"/>
        <w:rPr>
          <w:b/>
          <w:lang w:val="en-US"/>
        </w:rPr>
      </w:pPr>
    </w:p>
    <w:p w14:paraId="19C5B650" w14:textId="77777777" w:rsidR="00011F98" w:rsidRPr="00011F98" w:rsidRDefault="00011F98">
      <w:pPr>
        <w:spacing w:after="0" w:line="240" w:lineRule="auto"/>
        <w:jc w:val="both"/>
        <w:rPr>
          <w:b/>
          <w:lang w:val="en-US"/>
        </w:rPr>
      </w:pPr>
    </w:p>
    <w:p w14:paraId="1E14F04D" w14:textId="77777777" w:rsidR="00011F98" w:rsidRDefault="00011F98">
      <w:pPr>
        <w:spacing w:after="0" w:line="240" w:lineRule="auto"/>
        <w:jc w:val="both"/>
        <w:rPr>
          <w:b/>
          <w:lang w:val="en-US"/>
        </w:rPr>
      </w:pPr>
    </w:p>
    <w:p w14:paraId="5924CE9F" w14:textId="77777777" w:rsidR="00011F98" w:rsidRDefault="00011F98">
      <w:pPr>
        <w:spacing w:after="0" w:line="240" w:lineRule="auto"/>
        <w:jc w:val="both"/>
        <w:rPr>
          <w:b/>
          <w:lang w:val="en-US"/>
        </w:rPr>
      </w:pPr>
    </w:p>
    <w:p w14:paraId="470C0681" w14:textId="77777777" w:rsidR="00011F98" w:rsidRPr="00011F98" w:rsidRDefault="00011F98">
      <w:pPr>
        <w:spacing w:after="0" w:line="240" w:lineRule="auto"/>
        <w:jc w:val="both"/>
        <w:rPr>
          <w:b/>
          <w:lang w:val="en-US"/>
        </w:rPr>
      </w:pPr>
    </w:p>
    <w:p w14:paraId="19A420D8" w14:textId="77777777" w:rsidR="00011F98" w:rsidRDefault="00011F98" w:rsidP="00011F98">
      <w:pPr>
        <w:spacing w:line="240" w:lineRule="auto"/>
        <w:jc w:val="both"/>
        <w:rPr>
          <w:b/>
          <w:lang w:val="en-US"/>
        </w:rPr>
      </w:pPr>
    </w:p>
    <w:p w14:paraId="0C900A45" w14:textId="59C5F064" w:rsidR="00011F98" w:rsidRPr="00FB3EC6" w:rsidRDefault="00011F98" w:rsidP="00011F98">
      <w:pPr>
        <w:spacing w:line="240" w:lineRule="auto"/>
        <w:jc w:val="both"/>
        <w:rPr>
          <w:b/>
          <w:sz w:val="28"/>
          <w:szCs w:val="28"/>
          <w:u w:val="single"/>
        </w:rPr>
      </w:pPr>
      <w:r w:rsidRPr="00FB3EC6">
        <w:rPr>
          <w:b/>
          <w:sz w:val="28"/>
          <w:szCs w:val="28"/>
          <w:u w:val="single"/>
        </w:rPr>
        <w:lastRenderedPageBreak/>
        <w:t>Formato de figuras, tablas, ecuaciones y bibliografía</w:t>
      </w:r>
    </w:p>
    <w:p w14:paraId="0CE6A9B3" w14:textId="77777777" w:rsidR="00011F98" w:rsidRPr="00011F98" w:rsidRDefault="00011F98" w:rsidP="00011F98">
      <w:pPr>
        <w:spacing w:line="240" w:lineRule="auto"/>
        <w:jc w:val="both"/>
        <w:rPr>
          <w:b/>
          <w:bCs/>
          <w:color w:val="000000" w:themeColor="text1"/>
        </w:rPr>
      </w:pPr>
      <w:r w:rsidRPr="00011F98">
        <w:rPr>
          <w:b/>
          <w:bCs/>
          <w:color w:val="000000" w:themeColor="text1"/>
        </w:rPr>
        <w:t>1. Figuras</w:t>
      </w:r>
    </w:p>
    <w:p w14:paraId="0808E716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figuras deben colocarse </w:t>
      </w:r>
      <w:r w:rsidRPr="00011F98">
        <w:rPr>
          <w:b/>
          <w:bCs/>
          <w:color w:val="000000" w:themeColor="text1"/>
        </w:rPr>
        <w:t>dentro del cuerpo del texto</w:t>
      </w:r>
      <w:r w:rsidRPr="00011F98">
        <w:rPr>
          <w:color w:val="000000" w:themeColor="text1"/>
        </w:rPr>
        <w:t xml:space="preserve">, ocupando preferentemente el ancho de una columna. Si se requiere mayor espacio por motivos de claridad, se podrá utilizar el </w:t>
      </w:r>
      <w:r w:rsidRPr="00011F98">
        <w:rPr>
          <w:b/>
          <w:bCs/>
          <w:color w:val="000000" w:themeColor="text1"/>
        </w:rPr>
        <w:t>ancho completo de la página</w:t>
      </w:r>
      <w:r w:rsidRPr="00011F98">
        <w:rPr>
          <w:color w:val="000000" w:themeColor="text1"/>
        </w:rPr>
        <w:t xml:space="preserve">, pero </w:t>
      </w:r>
      <w:r w:rsidRPr="00011F98">
        <w:rPr>
          <w:b/>
          <w:bCs/>
          <w:color w:val="000000" w:themeColor="text1"/>
        </w:rPr>
        <w:t>no se aceptarán figuras colocadas en una sola página independiente</w:t>
      </w:r>
      <w:r w:rsidRPr="00011F98">
        <w:rPr>
          <w:color w:val="000000" w:themeColor="text1"/>
        </w:rPr>
        <w:t>.</w:t>
      </w:r>
    </w:p>
    <w:p w14:paraId="5895ED2A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 posición de las figuras debe estar </w:t>
      </w:r>
      <w:r w:rsidRPr="00011F98">
        <w:rPr>
          <w:b/>
          <w:bCs/>
          <w:color w:val="000000" w:themeColor="text1"/>
        </w:rPr>
        <w:t>centrada dentro de la columna</w:t>
      </w:r>
      <w:r w:rsidRPr="00011F98">
        <w:rPr>
          <w:color w:val="000000" w:themeColor="text1"/>
        </w:rPr>
        <w:t xml:space="preserve">, sin acompañamiento de texto. Deben incluir un </w:t>
      </w:r>
      <w:r w:rsidRPr="00011F98">
        <w:rPr>
          <w:b/>
          <w:bCs/>
          <w:color w:val="000000" w:themeColor="text1"/>
        </w:rPr>
        <w:t>título descriptivo</w:t>
      </w:r>
      <w:r w:rsidRPr="00011F98">
        <w:rPr>
          <w:color w:val="000000" w:themeColor="text1"/>
        </w:rPr>
        <w:t xml:space="preserve"> en fuente </w:t>
      </w:r>
      <w:r w:rsidRPr="00011F98">
        <w:rPr>
          <w:b/>
          <w:bCs/>
          <w:color w:val="000000" w:themeColor="text1"/>
        </w:rPr>
        <w:t>Adobe Devanagari, tamaño 9 puntos</w:t>
      </w:r>
      <w:r w:rsidRPr="00011F98">
        <w:rPr>
          <w:color w:val="000000" w:themeColor="text1"/>
        </w:rPr>
        <w:t xml:space="preserve">, colocado </w:t>
      </w:r>
      <w:r w:rsidRPr="00011F98">
        <w:rPr>
          <w:b/>
          <w:bCs/>
          <w:color w:val="000000" w:themeColor="text1"/>
        </w:rPr>
        <w:t>debajo de la figura</w:t>
      </w:r>
      <w:r w:rsidRPr="00011F98">
        <w:rPr>
          <w:color w:val="000000" w:themeColor="text1"/>
        </w:rPr>
        <w:t>, en el siguiente formato:</w:t>
      </w:r>
      <w:r w:rsidRPr="00011F98">
        <w:rPr>
          <w:color w:val="000000" w:themeColor="text1"/>
        </w:rPr>
        <w:br/>
      </w:r>
      <w:r w:rsidRPr="00011F98">
        <w:rPr>
          <w:b/>
          <w:bCs/>
          <w:color w:val="000000" w:themeColor="text1"/>
        </w:rPr>
        <w:t>Figura 1. Título descriptivo…</w:t>
      </w:r>
    </w:p>
    <w:p w14:paraId="0AB84A9D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Se recomienda insertar las figuras en la parte </w:t>
      </w:r>
      <w:r w:rsidRPr="00011F98">
        <w:rPr>
          <w:b/>
          <w:bCs/>
          <w:color w:val="000000" w:themeColor="text1"/>
        </w:rPr>
        <w:t>superior o inferior de la página</w:t>
      </w:r>
      <w:r w:rsidRPr="00011F98">
        <w:rPr>
          <w:color w:val="000000" w:themeColor="text1"/>
        </w:rPr>
        <w:t xml:space="preserve">, en la sección más próxima a su primera mención. </w:t>
      </w:r>
      <w:r w:rsidRPr="00011F98">
        <w:rPr>
          <w:b/>
          <w:bCs/>
          <w:color w:val="000000" w:themeColor="text1"/>
        </w:rPr>
        <w:t>Evite insertar texto dentro de las figuras</w:t>
      </w:r>
      <w:r w:rsidRPr="00011F98">
        <w:rPr>
          <w:color w:val="000000" w:themeColor="text1"/>
        </w:rPr>
        <w:t>, ya que podría perderse en la impresión o visualización.</w:t>
      </w:r>
    </w:p>
    <w:p w14:paraId="5B132128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curvas en gráficas deben tener un grosor mínimo de </w:t>
      </w:r>
      <w:r w:rsidRPr="00011F98">
        <w:rPr>
          <w:b/>
          <w:bCs/>
          <w:color w:val="000000" w:themeColor="text1"/>
        </w:rPr>
        <w:t>0.6 mm</w:t>
      </w:r>
      <w:r w:rsidRPr="00011F98">
        <w:rPr>
          <w:color w:val="000000" w:themeColor="text1"/>
        </w:rPr>
        <w:t xml:space="preserve"> y evitar sobrecarga de notas o etiquetas.</w:t>
      </w:r>
    </w:p>
    <w:p w14:paraId="07EBD73F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figuras deben numerarse </w:t>
      </w:r>
      <w:r w:rsidRPr="00011F98">
        <w:rPr>
          <w:b/>
          <w:bCs/>
          <w:color w:val="000000" w:themeColor="text1"/>
        </w:rPr>
        <w:t>consecutivamente</w:t>
      </w:r>
      <w:r w:rsidRPr="00011F98">
        <w:rPr>
          <w:color w:val="000000" w:themeColor="text1"/>
        </w:rPr>
        <w:t xml:space="preserve"> en el orden en que se citan en el texto. Las referencias dentro del texto deben utilizar el siguiente estilo:</w:t>
      </w:r>
      <w:r w:rsidRPr="00011F98">
        <w:rPr>
          <w:color w:val="000000" w:themeColor="text1"/>
        </w:rPr>
        <w:br/>
      </w:r>
      <w:r w:rsidRPr="00011F98">
        <w:rPr>
          <w:i/>
          <w:iCs/>
          <w:color w:val="000000" w:themeColor="text1"/>
        </w:rPr>
        <w:t>(Fig. 1)</w:t>
      </w:r>
      <w:r w:rsidRPr="00011F98">
        <w:rPr>
          <w:color w:val="000000" w:themeColor="text1"/>
        </w:rPr>
        <w:t xml:space="preserve">, </w:t>
      </w:r>
      <w:r w:rsidRPr="00011F98">
        <w:rPr>
          <w:i/>
          <w:iCs/>
          <w:color w:val="000000" w:themeColor="text1"/>
        </w:rPr>
        <w:t>(Figs. 2–4, 6, 8a, b)</w:t>
      </w:r>
      <w:r w:rsidRPr="00011F98">
        <w:rPr>
          <w:color w:val="000000" w:themeColor="text1"/>
        </w:rPr>
        <w:t xml:space="preserve">, </w:t>
      </w:r>
      <w:r w:rsidRPr="00011F98">
        <w:rPr>
          <w:i/>
          <w:iCs/>
          <w:color w:val="000000" w:themeColor="text1"/>
        </w:rPr>
        <w:t>Fig. 1 y 2.</w:t>
      </w:r>
    </w:p>
    <w:p w14:paraId="7DAD4BF2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No se aceptarán </w:t>
      </w:r>
      <w:r w:rsidRPr="00011F98">
        <w:rPr>
          <w:b/>
          <w:bCs/>
          <w:color w:val="000000" w:themeColor="text1"/>
        </w:rPr>
        <w:t>fotografías tomadas de libros, periódicos, fotocopias, ni capturas de pantalla</w:t>
      </w:r>
      <w:r w:rsidRPr="00011F98">
        <w:rPr>
          <w:color w:val="000000" w:themeColor="text1"/>
        </w:rPr>
        <w:t>.</w:t>
      </w:r>
    </w:p>
    <w:p w14:paraId="7C478EBA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En caso de que su artículo sea aceptado, deberá enviar cada figura en archivo individual en formato </w:t>
      </w:r>
      <w:r w:rsidRPr="00011F98">
        <w:rPr>
          <w:b/>
          <w:bCs/>
          <w:color w:val="000000" w:themeColor="text1"/>
        </w:rPr>
        <w:t>.</w:t>
      </w:r>
      <w:proofErr w:type="spellStart"/>
      <w:r w:rsidRPr="00011F98">
        <w:rPr>
          <w:b/>
          <w:bCs/>
          <w:color w:val="000000" w:themeColor="text1"/>
        </w:rPr>
        <w:t>jpg</w:t>
      </w:r>
      <w:proofErr w:type="spellEnd"/>
      <w:r w:rsidRPr="00011F98">
        <w:rPr>
          <w:color w:val="000000" w:themeColor="text1"/>
        </w:rPr>
        <w:t xml:space="preserve"> o </w:t>
      </w:r>
      <w:r w:rsidRPr="00011F98">
        <w:rPr>
          <w:b/>
          <w:bCs/>
          <w:color w:val="000000" w:themeColor="text1"/>
        </w:rPr>
        <w:t>.png</w:t>
      </w:r>
      <w:r w:rsidRPr="00011F98">
        <w:rPr>
          <w:color w:val="000000" w:themeColor="text1"/>
        </w:rPr>
        <w:t xml:space="preserve">, con </w:t>
      </w:r>
      <w:r w:rsidRPr="00011F98">
        <w:rPr>
          <w:b/>
          <w:bCs/>
          <w:color w:val="000000" w:themeColor="text1"/>
        </w:rPr>
        <w:t xml:space="preserve">resolución mínima de 300 </w:t>
      </w:r>
      <w:proofErr w:type="spellStart"/>
      <w:r w:rsidRPr="00011F98">
        <w:rPr>
          <w:b/>
          <w:bCs/>
          <w:color w:val="000000" w:themeColor="text1"/>
        </w:rPr>
        <w:t>ppi</w:t>
      </w:r>
      <w:proofErr w:type="spellEnd"/>
      <w:r w:rsidRPr="00011F98">
        <w:rPr>
          <w:color w:val="000000" w:themeColor="text1"/>
        </w:rPr>
        <w:t>. Las instrucciones para esta entrega serán detalladas en la carta de aceptación.</w:t>
      </w:r>
    </w:p>
    <w:p w14:paraId="603B73AC" w14:textId="77777777" w:rsidR="00011F98" w:rsidRPr="00011F98" w:rsidRDefault="00011F98" w:rsidP="00011F98">
      <w:pPr>
        <w:numPr>
          <w:ilvl w:val="0"/>
          <w:numId w:val="8"/>
        </w:numPr>
        <w:spacing w:line="240" w:lineRule="auto"/>
        <w:jc w:val="both"/>
        <w:rPr>
          <w:color w:val="000000" w:themeColor="text1"/>
        </w:rPr>
      </w:pPr>
      <w:r w:rsidRPr="00011F98">
        <w:rPr>
          <w:b/>
          <w:bCs/>
          <w:color w:val="000000" w:themeColor="text1"/>
        </w:rPr>
        <w:t>Recomendación:</w:t>
      </w:r>
      <w:r w:rsidRPr="00011F98">
        <w:rPr>
          <w:color w:val="000000" w:themeColor="text1"/>
        </w:rPr>
        <w:t xml:space="preserve"> se sugiere utilizar el formato </w:t>
      </w:r>
      <w:proofErr w:type="spellStart"/>
      <w:r w:rsidRPr="00011F98">
        <w:rPr>
          <w:b/>
          <w:bCs/>
          <w:color w:val="000000" w:themeColor="text1"/>
        </w:rPr>
        <w:t>Enhanced</w:t>
      </w:r>
      <w:proofErr w:type="spellEnd"/>
      <w:r w:rsidRPr="00011F98">
        <w:rPr>
          <w:b/>
          <w:bCs/>
          <w:color w:val="000000" w:themeColor="text1"/>
        </w:rPr>
        <w:t xml:space="preserve"> </w:t>
      </w:r>
      <w:proofErr w:type="spellStart"/>
      <w:r w:rsidRPr="00011F98">
        <w:rPr>
          <w:b/>
          <w:bCs/>
          <w:color w:val="000000" w:themeColor="text1"/>
        </w:rPr>
        <w:t>Metafile</w:t>
      </w:r>
      <w:proofErr w:type="spellEnd"/>
      <w:r w:rsidRPr="00011F98">
        <w:rPr>
          <w:b/>
          <w:bCs/>
          <w:color w:val="000000" w:themeColor="text1"/>
        </w:rPr>
        <w:t xml:space="preserve"> (.</w:t>
      </w:r>
      <w:proofErr w:type="spellStart"/>
      <w:r w:rsidRPr="00011F98">
        <w:rPr>
          <w:b/>
          <w:bCs/>
          <w:color w:val="000000" w:themeColor="text1"/>
        </w:rPr>
        <w:t>emf</w:t>
      </w:r>
      <w:proofErr w:type="spellEnd"/>
      <w:r w:rsidRPr="00011F98">
        <w:rPr>
          <w:b/>
          <w:bCs/>
          <w:color w:val="000000" w:themeColor="text1"/>
        </w:rPr>
        <w:t>)</w:t>
      </w:r>
      <w:r w:rsidRPr="00011F98">
        <w:rPr>
          <w:color w:val="000000" w:themeColor="text1"/>
        </w:rPr>
        <w:t xml:space="preserve"> para insertar figuras dentro del documento, por su compatibilidad y calidad en Word.</w:t>
      </w:r>
    </w:p>
    <w:p w14:paraId="77807E44" w14:textId="1E55FEEC" w:rsidR="00011F98" w:rsidRPr="00011F98" w:rsidRDefault="00011F98" w:rsidP="00011F98">
      <w:pPr>
        <w:spacing w:line="240" w:lineRule="auto"/>
        <w:jc w:val="both"/>
        <w:rPr>
          <w:color w:val="000000" w:themeColor="text1"/>
        </w:rPr>
      </w:pPr>
      <w:r w:rsidRPr="00011F98">
        <w:rPr>
          <w:b/>
          <w:bCs/>
          <w:color w:val="000000" w:themeColor="text1"/>
        </w:rPr>
        <w:t>2. Tablas y ecuaciones</w:t>
      </w:r>
    </w:p>
    <w:p w14:paraId="1778DCAF" w14:textId="77777777" w:rsidR="00011F98" w:rsidRPr="00011F98" w:rsidRDefault="00011F98" w:rsidP="00011F98">
      <w:pPr>
        <w:spacing w:line="240" w:lineRule="auto"/>
        <w:jc w:val="both"/>
        <w:rPr>
          <w:b/>
          <w:bCs/>
          <w:color w:val="000000" w:themeColor="text1"/>
        </w:rPr>
      </w:pPr>
      <w:r w:rsidRPr="00011F98">
        <w:rPr>
          <w:b/>
          <w:bCs/>
          <w:color w:val="000000" w:themeColor="text1"/>
        </w:rPr>
        <w:t>Tablas</w:t>
      </w:r>
    </w:p>
    <w:p w14:paraId="12B6E14C" w14:textId="77777777" w:rsidR="00011F98" w:rsidRPr="00011F98" w:rsidRDefault="00011F98" w:rsidP="00011F98">
      <w:pPr>
        <w:numPr>
          <w:ilvl w:val="0"/>
          <w:numId w:val="9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>Las tablas deben seguir el estilo definido en la sección “Estilos de letra y párrafo”.</w:t>
      </w:r>
    </w:p>
    <w:p w14:paraId="0CEDCB2C" w14:textId="77777777" w:rsidR="00011F98" w:rsidRPr="00011F98" w:rsidRDefault="00011F98" w:rsidP="00011F98">
      <w:pPr>
        <w:numPr>
          <w:ilvl w:val="0"/>
          <w:numId w:val="9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Evite usar abreviaciones en los títulos de las columnas. Las </w:t>
      </w:r>
      <w:r w:rsidRPr="00011F98">
        <w:rPr>
          <w:b/>
          <w:bCs/>
          <w:color w:val="000000" w:themeColor="text1"/>
        </w:rPr>
        <w:t>unidades de medida</w:t>
      </w:r>
      <w:r w:rsidRPr="00011F98">
        <w:rPr>
          <w:color w:val="000000" w:themeColor="text1"/>
        </w:rPr>
        <w:t xml:space="preserve"> deben colocarse justo </w:t>
      </w:r>
      <w:r w:rsidRPr="00011F98">
        <w:rPr>
          <w:b/>
          <w:bCs/>
          <w:color w:val="000000" w:themeColor="text1"/>
        </w:rPr>
        <w:t>debajo del encabezado</w:t>
      </w:r>
      <w:r w:rsidRPr="00011F98">
        <w:rPr>
          <w:color w:val="000000" w:themeColor="text1"/>
        </w:rPr>
        <w:t xml:space="preserve"> correspondiente.</w:t>
      </w:r>
    </w:p>
    <w:p w14:paraId="1998110E" w14:textId="77777777" w:rsidR="00011F98" w:rsidRPr="00011F98" w:rsidRDefault="00011F98" w:rsidP="00011F98">
      <w:pPr>
        <w:numPr>
          <w:ilvl w:val="0"/>
          <w:numId w:val="9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Utilice únicamente </w:t>
      </w:r>
      <w:r w:rsidRPr="00011F98">
        <w:rPr>
          <w:b/>
          <w:bCs/>
          <w:color w:val="000000" w:themeColor="text1"/>
        </w:rPr>
        <w:t>líneas horizontales divisorias</w:t>
      </w:r>
      <w:r w:rsidRPr="00011F98">
        <w:rPr>
          <w:color w:val="000000" w:themeColor="text1"/>
        </w:rPr>
        <w:t>: una encima del encabezado, una debajo de éste, y otra al final de la tabla (estilo “División Tabla”).</w:t>
      </w:r>
    </w:p>
    <w:p w14:paraId="79D31728" w14:textId="77777777" w:rsidR="00011F98" w:rsidRPr="00011F98" w:rsidRDefault="00011F98" w:rsidP="00011F98">
      <w:pPr>
        <w:numPr>
          <w:ilvl w:val="0"/>
          <w:numId w:val="9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explicaciones deben colocarse </w:t>
      </w:r>
      <w:r w:rsidRPr="00011F98">
        <w:rPr>
          <w:b/>
          <w:bCs/>
          <w:color w:val="000000" w:themeColor="text1"/>
        </w:rPr>
        <w:t>al pie de la tabla</w:t>
      </w:r>
      <w:r w:rsidRPr="00011F98">
        <w:rPr>
          <w:color w:val="000000" w:themeColor="text1"/>
        </w:rPr>
        <w:t>, no dentro de ella.</w:t>
      </w:r>
    </w:p>
    <w:p w14:paraId="322C47E7" w14:textId="77777777" w:rsidR="00011F98" w:rsidRPr="00011F98" w:rsidRDefault="00011F98" w:rsidP="00011F98">
      <w:pPr>
        <w:numPr>
          <w:ilvl w:val="0"/>
          <w:numId w:val="9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tablas deben estar ubicadas </w:t>
      </w:r>
      <w:r w:rsidRPr="00011F98">
        <w:rPr>
          <w:b/>
          <w:bCs/>
          <w:color w:val="000000" w:themeColor="text1"/>
        </w:rPr>
        <w:t>cerca de su primera mención en el texto</w:t>
      </w:r>
      <w:r w:rsidRPr="00011F98">
        <w:rPr>
          <w:color w:val="000000" w:themeColor="text1"/>
        </w:rPr>
        <w:t xml:space="preserve"> y numerarse </w:t>
      </w:r>
      <w:r w:rsidRPr="00011F98">
        <w:rPr>
          <w:b/>
          <w:bCs/>
          <w:color w:val="000000" w:themeColor="text1"/>
        </w:rPr>
        <w:t>de forma consecutiva</w:t>
      </w:r>
      <w:r w:rsidRPr="00011F98">
        <w:rPr>
          <w:color w:val="000000" w:themeColor="text1"/>
        </w:rPr>
        <w:t>.</w:t>
      </w:r>
    </w:p>
    <w:p w14:paraId="67CF31D2" w14:textId="77777777" w:rsidR="00011F98" w:rsidRPr="00011F98" w:rsidRDefault="00011F98" w:rsidP="00011F98">
      <w:pPr>
        <w:numPr>
          <w:ilvl w:val="0"/>
          <w:numId w:val="9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lastRenderedPageBreak/>
        <w:t xml:space="preserve">No debe colocarse texto a los lados de las tablas. Las referencias a tablas en el texto deben escribirse </w:t>
      </w:r>
      <w:r w:rsidRPr="00011F98">
        <w:rPr>
          <w:b/>
          <w:bCs/>
          <w:color w:val="000000" w:themeColor="text1"/>
        </w:rPr>
        <w:t>sin abreviaciones</w:t>
      </w:r>
      <w:r w:rsidRPr="00011F98">
        <w:rPr>
          <w:color w:val="000000" w:themeColor="text1"/>
        </w:rPr>
        <w:t>:</w:t>
      </w:r>
      <w:r w:rsidRPr="00011F98">
        <w:rPr>
          <w:color w:val="000000" w:themeColor="text1"/>
        </w:rPr>
        <w:br/>
      </w:r>
      <w:r w:rsidRPr="00011F98">
        <w:rPr>
          <w:b/>
          <w:bCs/>
          <w:color w:val="000000" w:themeColor="text1"/>
        </w:rPr>
        <w:t>Tabla 1</w:t>
      </w:r>
      <w:r w:rsidRPr="00011F98">
        <w:rPr>
          <w:color w:val="000000" w:themeColor="text1"/>
        </w:rPr>
        <w:t xml:space="preserve">, </w:t>
      </w:r>
      <w:r w:rsidRPr="00011F98">
        <w:rPr>
          <w:b/>
          <w:bCs/>
          <w:color w:val="000000" w:themeColor="text1"/>
        </w:rPr>
        <w:t>Tablas 2–4, 6</w:t>
      </w:r>
    </w:p>
    <w:p w14:paraId="12B73B61" w14:textId="77777777" w:rsidR="00011F98" w:rsidRPr="00011F98" w:rsidRDefault="00011F98" w:rsidP="00011F98">
      <w:pPr>
        <w:spacing w:line="240" w:lineRule="auto"/>
        <w:jc w:val="both"/>
        <w:rPr>
          <w:b/>
          <w:bCs/>
          <w:color w:val="000000" w:themeColor="text1"/>
        </w:rPr>
      </w:pPr>
      <w:r w:rsidRPr="00011F98">
        <w:rPr>
          <w:b/>
          <w:bCs/>
          <w:color w:val="000000" w:themeColor="text1"/>
        </w:rPr>
        <w:t>Ecuaciones</w:t>
      </w:r>
    </w:p>
    <w:p w14:paraId="1A6DB5E8" w14:textId="77777777" w:rsidR="00011F98" w:rsidRPr="00011F98" w:rsidRDefault="00011F98" w:rsidP="00011F98">
      <w:pPr>
        <w:numPr>
          <w:ilvl w:val="0"/>
          <w:numId w:val="10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ecuaciones deben escribirse </w:t>
      </w:r>
      <w:r w:rsidRPr="00011F98">
        <w:rPr>
          <w:b/>
          <w:bCs/>
          <w:color w:val="000000" w:themeColor="text1"/>
        </w:rPr>
        <w:t>sin sangría</w:t>
      </w:r>
      <w:r w:rsidRPr="00011F98">
        <w:rPr>
          <w:color w:val="000000" w:themeColor="text1"/>
        </w:rPr>
        <w:t xml:space="preserve">, centradas, utilizando el </w:t>
      </w:r>
      <w:r w:rsidRPr="00011F98">
        <w:rPr>
          <w:b/>
          <w:bCs/>
          <w:color w:val="000000" w:themeColor="text1"/>
        </w:rPr>
        <w:t>editor de ecuaciones de Word</w:t>
      </w:r>
      <w:r w:rsidRPr="00011F98">
        <w:rPr>
          <w:color w:val="000000" w:themeColor="text1"/>
        </w:rPr>
        <w:t xml:space="preserve"> (Insertar &gt; Ecuación).</w:t>
      </w:r>
    </w:p>
    <w:p w14:paraId="7DE84B8F" w14:textId="77777777" w:rsidR="00011F98" w:rsidRPr="00011F98" w:rsidRDefault="00011F98" w:rsidP="00011F98">
      <w:pPr>
        <w:numPr>
          <w:ilvl w:val="0"/>
          <w:numId w:val="10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Deben ubicarse en una línea separada y numerarse de forma </w:t>
      </w:r>
      <w:r w:rsidRPr="00011F98">
        <w:rPr>
          <w:b/>
          <w:bCs/>
          <w:color w:val="000000" w:themeColor="text1"/>
        </w:rPr>
        <w:t>consecutiva</w:t>
      </w:r>
      <w:r w:rsidRPr="00011F98">
        <w:rPr>
          <w:color w:val="000000" w:themeColor="text1"/>
        </w:rPr>
        <w:t xml:space="preserve">. El número se colocará a la </w:t>
      </w:r>
      <w:r w:rsidRPr="00011F98">
        <w:rPr>
          <w:b/>
          <w:bCs/>
          <w:color w:val="000000" w:themeColor="text1"/>
        </w:rPr>
        <w:t>derecha</w:t>
      </w:r>
      <w:r w:rsidRPr="00011F98">
        <w:rPr>
          <w:color w:val="000000" w:themeColor="text1"/>
        </w:rPr>
        <w:t>, entre paréntesis, utilizando tabulación.</w:t>
      </w:r>
    </w:p>
    <w:p w14:paraId="53A7BBB0" w14:textId="77777777" w:rsidR="00011F98" w:rsidRPr="00011F98" w:rsidRDefault="00011F98" w:rsidP="00011F98">
      <w:pPr>
        <w:numPr>
          <w:ilvl w:val="0"/>
          <w:numId w:val="10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>Ejemplo de formato:</w:t>
      </w:r>
    </w:p>
    <w:p w14:paraId="64D829D3" w14:textId="77777777" w:rsidR="00011F98" w:rsidRPr="00011F98" w:rsidRDefault="00011F98" w:rsidP="00011F98">
      <w:p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>x + y = z                       </w:t>
      </w:r>
      <w:proofErr w:type="gramStart"/>
      <w:r w:rsidRPr="00011F98">
        <w:rPr>
          <w:color w:val="000000" w:themeColor="text1"/>
        </w:rPr>
        <w:t>   (</w:t>
      </w:r>
      <w:proofErr w:type="gramEnd"/>
      <w:r w:rsidRPr="00011F98">
        <w:rPr>
          <w:color w:val="000000" w:themeColor="text1"/>
        </w:rPr>
        <w:t>1)</w:t>
      </w:r>
    </w:p>
    <w:p w14:paraId="53C96A27" w14:textId="77777777" w:rsidR="00011F98" w:rsidRPr="00011F98" w:rsidRDefault="00011F98" w:rsidP="00011F98">
      <w:pPr>
        <w:numPr>
          <w:ilvl w:val="0"/>
          <w:numId w:val="10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>Para referirse a ecuaciones en el texto, utilice:</w:t>
      </w:r>
      <w:r w:rsidRPr="00011F98">
        <w:rPr>
          <w:color w:val="000000" w:themeColor="text1"/>
        </w:rPr>
        <w:br/>
      </w:r>
      <w:proofErr w:type="spellStart"/>
      <w:r w:rsidRPr="00011F98">
        <w:rPr>
          <w:b/>
          <w:bCs/>
          <w:color w:val="000000" w:themeColor="text1"/>
        </w:rPr>
        <w:t>Ec</w:t>
      </w:r>
      <w:proofErr w:type="spellEnd"/>
      <w:r w:rsidRPr="00011F98">
        <w:rPr>
          <w:b/>
          <w:bCs/>
          <w:color w:val="000000" w:themeColor="text1"/>
        </w:rPr>
        <w:t>. (1)</w:t>
      </w:r>
      <w:r w:rsidRPr="00011F98">
        <w:rPr>
          <w:color w:val="000000" w:themeColor="text1"/>
        </w:rPr>
        <w:t xml:space="preserve">, </w:t>
      </w:r>
      <w:proofErr w:type="spellStart"/>
      <w:r w:rsidRPr="00011F98">
        <w:rPr>
          <w:b/>
          <w:bCs/>
          <w:color w:val="000000" w:themeColor="text1"/>
        </w:rPr>
        <w:t>Ecs</w:t>
      </w:r>
      <w:proofErr w:type="spellEnd"/>
      <w:r w:rsidRPr="00011F98">
        <w:rPr>
          <w:b/>
          <w:bCs/>
          <w:color w:val="000000" w:themeColor="text1"/>
        </w:rPr>
        <w:t>. (7–10)</w:t>
      </w:r>
      <w:r w:rsidRPr="00011F98">
        <w:rPr>
          <w:color w:val="000000" w:themeColor="text1"/>
        </w:rPr>
        <w:t xml:space="preserve">, </w:t>
      </w:r>
      <w:proofErr w:type="spellStart"/>
      <w:r w:rsidRPr="00011F98">
        <w:rPr>
          <w:b/>
          <w:bCs/>
          <w:color w:val="000000" w:themeColor="text1"/>
        </w:rPr>
        <w:t>Ecs</w:t>
      </w:r>
      <w:proofErr w:type="spellEnd"/>
      <w:r w:rsidRPr="00011F98">
        <w:rPr>
          <w:b/>
          <w:bCs/>
          <w:color w:val="000000" w:themeColor="text1"/>
        </w:rPr>
        <w:t>. (7) y (8)</w:t>
      </w:r>
    </w:p>
    <w:p w14:paraId="4C72E253" w14:textId="6080D93C" w:rsidR="00011F98" w:rsidRPr="00011F98" w:rsidRDefault="00011F98" w:rsidP="00011F98">
      <w:pPr>
        <w:spacing w:line="240" w:lineRule="auto"/>
        <w:jc w:val="both"/>
        <w:rPr>
          <w:color w:val="000000" w:themeColor="text1"/>
        </w:rPr>
      </w:pPr>
      <w:r w:rsidRPr="00011F98">
        <w:rPr>
          <w:b/>
          <w:bCs/>
          <w:color w:val="000000" w:themeColor="text1"/>
        </w:rPr>
        <w:t>3. Bibliografía</w:t>
      </w:r>
    </w:p>
    <w:p w14:paraId="6E61717A" w14:textId="77777777" w:rsidR="00011F98" w:rsidRPr="00011F98" w:rsidRDefault="00011F98" w:rsidP="00011F98">
      <w:pPr>
        <w:numPr>
          <w:ilvl w:val="0"/>
          <w:numId w:val="11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El formato de las referencias deberá seguir el </w:t>
      </w:r>
      <w:r w:rsidRPr="00011F98">
        <w:rPr>
          <w:b/>
          <w:bCs/>
          <w:color w:val="000000" w:themeColor="text1"/>
        </w:rPr>
        <w:t>estilo IEEE</w:t>
      </w:r>
      <w:r w:rsidRPr="00011F98">
        <w:rPr>
          <w:color w:val="000000" w:themeColor="text1"/>
        </w:rPr>
        <w:t xml:space="preserve">. Todas las citas deben estar </w:t>
      </w:r>
      <w:r w:rsidRPr="00011F98">
        <w:rPr>
          <w:b/>
          <w:bCs/>
          <w:color w:val="000000" w:themeColor="text1"/>
        </w:rPr>
        <w:t>numeradas</w:t>
      </w:r>
      <w:r w:rsidRPr="00011F98">
        <w:rPr>
          <w:color w:val="000000" w:themeColor="text1"/>
        </w:rPr>
        <w:t xml:space="preserve"> con números arábigos entre </w:t>
      </w:r>
      <w:r w:rsidRPr="00011F98">
        <w:rPr>
          <w:b/>
          <w:bCs/>
          <w:color w:val="000000" w:themeColor="text1"/>
        </w:rPr>
        <w:t>corchetes</w:t>
      </w:r>
      <w:r w:rsidRPr="00011F98">
        <w:rPr>
          <w:color w:val="000000" w:themeColor="text1"/>
        </w:rPr>
        <w:t xml:space="preserve"> (por ejemplo, [1], [2]).</w:t>
      </w:r>
    </w:p>
    <w:p w14:paraId="2B4B41AB" w14:textId="77777777" w:rsidR="00011F98" w:rsidRPr="00011F98" w:rsidRDefault="00011F98" w:rsidP="00011F98">
      <w:pPr>
        <w:numPr>
          <w:ilvl w:val="0"/>
          <w:numId w:val="11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 xml:space="preserve">Las referencias deben ordenarse </w:t>
      </w:r>
      <w:r w:rsidRPr="00011F98">
        <w:rPr>
          <w:b/>
          <w:bCs/>
          <w:color w:val="000000" w:themeColor="text1"/>
        </w:rPr>
        <w:t>según su aparición en el texto</w:t>
      </w:r>
      <w:r w:rsidRPr="00011F98">
        <w:rPr>
          <w:color w:val="000000" w:themeColor="text1"/>
        </w:rPr>
        <w:t xml:space="preserve"> y deben incluir todos los datos necesarios: autores, título del artículo, nombre abreviado de la revista o conferencia, volumen, número, páginas y año.</w:t>
      </w:r>
    </w:p>
    <w:p w14:paraId="012309C7" w14:textId="77777777" w:rsidR="00011F98" w:rsidRPr="00011F98" w:rsidRDefault="00011F98" w:rsidP="00011F98">
      <w:pPr>
        <w:numPr>
          <w:ilvl w:val="0"/>
          <w:numId w:val="11"/>
        </w:numPr>
        <w:spacing w:line="240" w:lineRule="auto"/>
        <w:jc w:val="both"/>
        <w:rPr>
          <w:color w:val="000000" w:themeColor="text1"/>
        </w:rPr>
      </w:pPr>
      <w:r w:rsidRPr="00011F98">
        <w:rPr>
          <w:color w:val="000000" w:themeColor="text1"/>
        </w:rPr>
        <w:t>Algunos ejemplos del formato correcto:</w:t>
      </w:r>
    </w:p>
    <w:p w14:paraId="383AC3CD" w14:textId="77777777" w:rsidR="00011F98" w:rsidRPr="00011F98" w:rsidRDefault="00011F98" w:rsidP="00011F98">
      <w:pPr>
        <w:spacing w:line="240" w:lineRule="auto"/>
        <w:jc w:val="both"/>
        <w:rPr>
          <w:color w:val="000000" w:themeColor="text1"/>
          <w:lang w:val="en-US"/>
        </w:rPr>
      </w:pPr>
      <w:r w:rsidRPr="00011F98">
        <w:rPr>
          <w:color w:val="000000" w:themeColor="text1"/>
          <w:lang w:val="en-US"/>
        </w:rPr>
        <w:t xml:space="preserve">[1] Y. Li, S. Zhu, Q. Liu, Z. Chen, J. Gu, and J. Ma, “N-doped porous carbon with magnetic particles formed in situ for enhanced </w:t>
      </w:r>
      <w:proofErr w:type="gramStart"/>
      <w:r w:rsidRPr="00011F98">
        <w:rPr>
          <w:color w:val="000000" w:themeColor="text1"/>
          <w:lang w:val="en-US"/>
        </w:rPr>
        <w:t>Cr(</w:t>
      </w:r>
      <w:proofErr w:type="gramEnd"/>
      <w:r w:rsidRPr="00011F98">
        <w:rPr>
          <w:color w:val="000000" w:themeColor="text1"/>
          <w:lang w:val="en-US"/>
        </w:rPr>
        <w:t xml:space="preserve">VI) removal,” </w:t>
      </w:r>
      <w:r w:rsidRPr="00011F98">
        <w:rPr>
          <w:i/>
          <w:iCs/>
          <w:color w:val="000000" w:themeColor="text1"/>
          <w:lang w:val="en-US"/>
        </w:rPr>
        <w:t>Water Res.</w:t>
      </w:r>
      <w:r w:rsidRPr="00011F98">
        <w:rPr>
          <w:color w:val="000000" w:themeColor="text1"/>
          <w:lang w:val="en-US"/>
        </w:rPr>
        <w:t>, vol. 47, pp. 4188–4197, 2013.</w:t>
      </w:r>
    </w:p>
    <w:p w14:paraId="41766544" w14:textId="77777777" w:rsidR="00011F98" w:rsidRPr="00011F98" w:rsidRDefault="00011F98" w:rsidP="00011F98">
      <w:pPr>
        <w:spacing w:line="240" w:lineRule="auto"/>
        <w:jc w:val="both"/>
        <w:rPr>
          <w:color w:val="000000" w:themeColor="text1"/>
          <w:lang w:val="en-US"/>
        </w:rPr>
      </w:pPr>
      <w:r w:rsidRPr="00011F98">
        <w:rPr>
          <w:color w:val="000000" w:themeColor="text1"/>
          <w:lang w:val="en-US"/>
        </w:rPr>
        <w:t xml:space="preserve">[2] P. </w:t>
      </w:r>
      <w:proofErr w:type="spellStart"/>
      <w:r w:rsidRPr="00011F98">
        <w:rPr>
          <w:color w:val="000000" w:themeColor="text1"/>
          <w:lang w:val="en-US"/>
        </w:rPr>
        <w:t>Mesaelides</w:t>
      </w:r>
      <w:proofErr w:type="spellEnd"/>
      <w:r w:rsidRPr="00011F98">
        <w:rPr>
          <w:color w:val="000000" w:themeColor="text1"/>
          <w:lang w:val="en-US"/>
        </w:rPr>
        <w:t xml:space="preserve">, “Application of natural zeolites in environmental remediation: A short review,” </w:t>
      </w:r>
      <w:r w:rsidRPr="00011F98">
        <w:rPr>
          <w:i/>
          <w:iCs/>
          <w:color w:val="000000" w:themeColor="text1"/>
          <w:lang w:val="en-US"/>
        </w:rPr>
        <w:t>Microporous and Mesoporous Materials</w:t>
      </w:r>
      <w:r w:rsidRPr="00011F98">
        <w:rPr>
          <w:color w:val="000000" w:themeColor="text1"/>
          <w:lang w:val="en-US"/>
        </w:rPr>
        <w:t>, vol. 144, pp. 15–18, 2011.</w:t>
      </w:r>
    </w:p>
    <w:p w14:paraId="7617C62E" w14:textId="77777777" w:rsidR="00011F98" w:rsidRDefault="00011F98" w:rsidP="00011F98">
      <w:pPr>
        <w:spacing w:line="240" w:lineRule="auto"/>
        <w:jc w:val="both"/>
        <w:rPr>
          <w:color w:val="000000" w:themeColor="text1"/>
          <w:lang w:val="en-US"/>
        </w:rPr>
      </w:pPr>
      <w:r w:rsidRPr="00011F98">
        <w:rPr>
          <w:color w:val="000000" w:themeColor="text1"/>
          <w:lang w:val="en-US"/>
        </w:rPr>
        <w:t xml:space="preserve">[3] V. Hernández Morales et al., “Adsorption of lead (II) on SBA-15 mesoporous molecular sieve functionalized with -NH₂ groups,” </w:t>
      </w:r>
      <w:r w:rsidRPr="00011F98">
        <w:rPr>
          <w:i/>
          <w:iCs/>
          <w:color w:val="000000" w:themeColor="text1"/>
          <w:lang w:val="en-US"/>
        </w:rPr>
        <w:t>Microporous and Mesoporous Materials</w:t>
      </w:r>
      <w:r w:rsidRPr="00011F98">
        <w:rPr>
          <w:color w:val="000000" w:themeColor="text1"/>
          <w:lang w:val="en-US"/>
        </w:rPr>
        <w:t>, vol. 160, pp. 133–142, 2012.</w:t>
      </w:r>
    </w:p>
    <w:p w14:paraId="6F81F0B2" w14:textId="77777777" w:rsidR="002A4992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67D93C72" w14:textId="77777777" w:rsidR="002A4992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169CCF28" w14:textId="77777777" w:rsidR="002A4992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309F5398" w14:textId="77777777" w:rsidR="002A4992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7AA7A03B" w14:textId="77777777" w:rsidR="002A4992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1E2580B0" w14:textId="77777777" w:rsidR="002A4992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246A8922" w14:textId="77777777" w:rsidR="002A4992" w:rsidRPr="00011F98" w:rsidRDefault="002A4992" w:rsidP="00011F98">
      <w:pPr>
        <w:spacing w:line="240" w:lineRule="auto"/>
        <w:jc w:val="both"/>
        <w:rPr>
          <w:color w:val="000000" w:themeColor="text1"/>
          <w:lang w:val="en-US"/>
        </w:rPr>
      </w:pPr>
    </w:p>
    <w:p w14:paraId="6C412740" w14:textId="77777777" w:rsidR="00FB3EC6" w:rsidRPr="00FB3EC6" w:rsidRDefault="00FB3EC6" w:rsidP="00FB3EC6">
      <w:pPr>
        <w:spacing w:line="240" w:lineRule="auto"/>
        <w:jc w:val="both"/>
        <w:rPr>
          <w:b/>
          <w:sz w:val="28"/>
          <w:szCs w:val="28"/>
        </w:rPr>
      </w:pPr>
      <w:r w:rsidRPr="00FB3EC6">
        <w:rPr>
          <w:b/>
          <w:sz w:val="28"/>
          <w:szCs w:val="28"/>
          <w:u w:val="single"/>
        </w:rPr>
        <w:lastRenderedPageBreak/>
        <w:t>Declaración de originalidad, exclusividad y responsabilidad académica</w:t>
      </w:r>
    </w:p>
    <w:p w14:paraId="1A8BAEF9" w14:textId="77777777" w:rsidR="00FB3EC6" w:rsidRPr="00FB3EC6" w:rsidRDefault="00FB3EC6" w:rsidP="00FB3EC6">
      <w:pPr>
        <w:spacing w:line="240" w:lineRule="auto"/>
        <w:jc w:val="both"/>
        <w:rPr>
          <w:color w:val="000000" w:themeColor="text1"/>
        </w:rPr>
      </w:pPr>
      <w:r w:rsidRPr="00FB3EC6">
        <w:rPr>
          <w:color w:val="000000" w:themeColor="text1"/>
        </w:rPr>
        <w:t xml:space="preserve">Con el envío del manuscrito al Comité Organizador del Coloquio de Posgrado, </w:t>
      </w:r>
      <w:r w:rsidRPr="00FB3EC6">
        <w:rPr>
          <w:b/>
          <w:bCs/>
          <w:color w:val="000000" w:themeColor="text1"/>
        </w:rPr>
        <w:t>los autores declaran y asumen plenamente</w:t>
      </w:r>
      <w:r w:rsidRPr="00FB3EC6">
        <w:rPr>
          <w:color w:val="000000" w:themeColor="text1"/>
        </w:rPr>
        <w:t xml:space="preserve"> que:</w:t>
      </w:r>
    </w:p>
    <w:p w14:paraId="7BC44F82" w14:textId="77777777" w:rsidR="00FB3EC6" w:rsidRPr="00FB3EC6" w:rsidRDefault="00FB3EC6" w:rsidP="00FB3EC6">
      <w:pPr>
        <w:numPr>
          <w:ilvl w:val="0"/>
          <w:numId w:val="12"/>
        </w:numPr>
        <w:spacing w:line="240" w:lineRule="auto"/>
        <w:jc w:val="both"/>
        <w:rPr>
          <w:color w:val="000000" w:themeColor="text1"/>
        </w:rPr>
      </w:pPr>
      <w:r w:rsidRPr="00FB3EC6">
        <w:rPr>
          <w:color w:val="000000" w:themeColor="text1"/>
        </w:rPr>
        <w:t xml:space="preserve">El trabajo es </w:t>
      </w:r>
      <w:r w:rsidRPr="00FB3EC6">
        <w:rPr>
          <w:b/>
          <w:bCs/>
          <w:color w:val="000000" w:themeColor="text1"/>
        </w:rPr>
        <w:t>íntegramente original</w:t>
      </w:r>
      <w:r w:rsidRPr="00FB3EC6">
        <w:rPr>
          <w:color w:val="000000" w:themeColor="text1"/>
        </w:rPr>
        <w:t>, no ha sido publicado ni se encuentra en proceso de evaluación en ningún otro evento, revista, coloquio o medio de difusión académica.</w:t>
      </w:r>
    </w:p>
    <w:p w14:paraId="352B3240" w14:textId="77777777" w:rsidR="00FB3EC6" w:rsidRPr="00FB3EC6" w:rsidRDefault="00FB3EC6" w:rsidP="00FB3EC6">
      <w:pPr>
        <w:numPr>
          <w:ilvl w:val="0"/>
          <w:numId w:val="12"/>
        </w:numPr>
        <w:spacing w:line="240" w:lineRule="auto"/>
        <w:jc w:val="both"/>
        <w:rPr>
          <w:color w:val="000000" w:themeColor="text1"/>
        </w:rPr>
      </w:pPr>
      <w:r w:rsidRPr="00FB3EC6">
        <w:rPr>
          <w:b/>
          <w:bCs/>
          <w:color w:val="000000" w:themeColor="text1"/>
        </w:rPr>
        <w:t>A partir del inicio del proceso de revisión por pares</w:t>
      </w:r>
      <w:r w:rsidRPr="00FB3EC6">
        <w:rPr>
          <w:color w:val="000000" w:themeColor="text1"/>
        </w:rPr>
        <w:t xml:space="preserve">, el manuscrito </w:t>
      </w:r>
      <w:r w:rsidRPr="00FB3EC6">
        <w:rPr>
          <w:b/>
          <w:bCs/>
          <w:color w:val="000000" w:themeColor="text1"/>
        </w:rPr>
        <w:t>no podrá ser postulado simultáneamente a ninguna otra revista, congreso, coloquio, repositorio o publicación académica</w:t>
      </w:r>
      <w:r w:rsidRPr="00FB3EC6">
        <w:rPr>
          <w:color w:val="000000" w:themeColor="text1"/>
        </w:rPr>
        <w:t>, bajo ninguna modalidad.</w:t>
      </w:r>
    </w:p>
    <w:p w14:paraId="55339D30" w14:textId="77777777" w:rsidR="00FB3EC6" w:rsidRPr="00FB3EC6" w:rsidRDefault="00FB3EC6" w:rsidP="00FB3EC6">
      <w:pPr>
        <w:numPr>
          <w:ilvl w:val="0"/>
          <w:numId w:val="12"/>
        </w:numPr>
        <w:spacing w:line="240" w:lineRule="auto"/>
        <w:jc w:val="both"/>
        <w:rPr>
          <w:color w:val="000000" w:themeColor="text1"/>
        </w:rPr>
      </w:pPr>
      <w:r w:rsidRPr="00FB3EC6">
        <w:rPr>
          <w:color w:val="000000" w:themeColor="text1"/>
        </w:rPr>
        <w:t xml:space="preserve">El contenido ha sido verificado mediante herramientas de detección de similitud (como </w:t>
      </w:r>
      <w:proofErr w:type="spellStart"/>
      <w:r w:rsidRPr="00FB3EC6">
        <w:rPr>
          <w:color w:val="000000" w:themeColor="text1"/>
        </w:rPr>
        <w:t>Turnitin</w:t>
      </w:r>
      <w:proofErr w:type="spellEnd"/>
      <w:r w:rsidRPr="00FB3EC6">
        <w:rPr>
          <w:color w:val="000000" w:themeColor="text1"/>
        </w:rPr>
        <w:t xml:space="preserve">), y presenta un índice </w:t>
      </w:r>
      <w:r w:rsidRPr="00FB3EC6">
        <w:rPr>
          <w:b/>
          <w:bCs/>
          <w:color w:val="000000" w:themeColor="text1"/>
        </w:rPr>
        <w:t>inferior al 20 %</w:t>
      </w:r>
      <w:r w:rsidRPr="00FB3EC6">
        <w:rPr>
          <w:color w:val="000000" w:themeColor="text1"/>
        </w:rPr>
        <w:t>, cumpliendo con los estándares éticos de integridad académica.</w:t>
      </w:r>
    </w:p>
    <w:p w14:paraId="38220F68" w14:textId="77777777" w:rsidR="00FB3EC6" w:rsidRPr="00FB3EC6" w:rsidRDefault="00FB3EC6" w:rsidP="00FB3EC6">
      <w:pPr>
        <w:numPr>
          <w:ilvl w:val="0"/>
          <w:numId w:val="12"/>
        </w:numPr>
        <w:spacing w:line="240" w:lineRule="auto"/>
        <w:jc w:val="both"/>
        <w:rPr>
          <w:color w:val="000000" w:themeColor="text1"/>
        </w:rPr>
      </w:pPr>
      <w:r w:rsidRPr="00FB3EC6">
        <w:rPr>
          <w:color w:val="000000" w:themeColor="text1"/>
        </w:rPr>
        <w:t xml:space="preserve">El autor que realiza el envío cuenta con la </w:t>
      </w:r>
      <w:r w:rsidRPr="00FB3EC6">
        <w:rPr>
          <w:b/>
          <w:bCs/>
          <w:color w:val="000000" w:themeColor="text1"/>
        </w:rPr>
        <w:t>aprobación formal de todos los coautores</w:t>
      </w:r>
      <w:r w:rsidRPr="00FB3EC6">
        <w:rPr>
          <w:color w:val="000000" w:themeColor="text1"/>
        </w:rPr>
        <w:t xml:space="preserve"> y actúa como representante del equipo ante el Comité.</w:t>
      </w:r>
    </w:p>
    <w:p w14:paraId="0DB5E1E0" w14:textId="77777777" w:rsidR="00FB3EC6" w:rsidRPr="00FB3EC6" w:rsidRDefault="00FB3EC6" w:rsidP="00FB3EC6">
      <w:pPr>
        <w:numPr>
          <w:ilvl w:val="0"/>
          <w:numId w:val="12"/>
        </w:numPr>
        <w:spacing w:line="240" w:lineRule="auto"/>
        <w:jc w:val="both"/>
        <w:rPr>
          <w:color w:val="000000" w:themeColor="text1"/>
        </w:rPr>
      </w:pPr>
      <w:r w:rsidRPr="00FB3EC6">
        <w:rPr>
          <w:b/>
          <w:bCs/>
          <w:color w:val="000000" w:themeColor="text1"/>
        </w:rPr>
        <w:t>Todos los autores son responsables del cumplimiento total de estos compromisos</w:t>
      </w:r>
      <w:r w:rsidRPr="00FB3EC6">
        <w:rPr>
          <w:color w:val="000000" w:themeColor="text1"/>
        </w:rPr>
        <w:t xml:space="preserve">, y aceptan que </w:t>
      </w:r>
      <w:r w:rsidRPr="00FB3EC6">
        <w:rPr>
          <w:b/>
          <w:bCs/>
          <w:color w:val="000000" w:themeColor="text1"/>
        </w:rPr>
        <w:t>cualquier incumplimiento podrá derivar en el retiro del manuscrito del proceso de evaluación o de las memorias oficiales del Coloquio, así como en la anulación de su participación y la emisión de constancias</w:t>
      </w:r>
      <w:r w:rsidRPr="00FB3EC6">
        <w:rPr>
          <w:color w:val="000000" w:themeColor="text1"/>
        </w:rPr>
        <w:t>.</w:t>
      </w:r>
    </w:p>
    <w:p w14:paraId="15A700BB" w14:textId="77777777" w:rsidR="00FB3EC6" w:rsidRPr="00FB3EC6" w:rsidRDefault="00FB3EC6" w:rsidP="00FB3EC6">
      <w:pPr>
        <w:numPr>
          <w:ilvl w:val="0"/>
          <w:numId w:val="12"/>
        </w:numPr>
        <w:spacing w:line="240" w:lineRule="auto"/>
        <w:jc w:val="both"/>
        <w:rPr>
          <w:color w:val="000000" w:themeColor="text1"/>
        </w:rPr>
      </w:pPr>
      <w:r w:rsidRPr="00FB3EC6">
        <w:rPr>
          <w:color w:val="000000" w:themeColor="text1"/>
        </w:rPr>
        <w:t xml:space="preserve">Asimismo, </w:t>
      </w:r>
      <w:r w:rsidRPr="00FB3EC6">
        <w:rPr>
          <w:b/>
          <w:bCs/>
          <w:color w:val="000000" w:themeColor="text1"/>
        </w:rPr>
        <w:t>esta situación será notificada a la Facultad y a las autoridades académicas correspondientes</w:t>
      </w:r>
      <w:r w:rsidRPr="00FB3EC6">
        <w:rPr>
          <w:color w:val="000000" w:themeColor="text1"/>
        </w:rPr>
        <w:t>, como parte de las medidas institucionales de seguimiento a la integridad académica.</w:t>
      </w:r>
    </w:p>
    <w:p w14:paraId="42D93ECD" w14:textId="77777777" w:rsidR="00EB58D1" w:rsidRPr="00FB3EC6" w:rsidRDefault="00EB58D1">
      <w:pPr>
        <w:spacing w:line="240" w:lineRule="auto"/>
        <w:jc w:val="both"/>
        <w:rPr>
          <w:color w:val="B11827"/>
        </w:rPr>
      </w:pPr>
    </w:p>
    <w:sectPr w:rsidR="00EB58D1" w:rsidRPr="00FB3EC6">
      <w:headerReference w:type="default" r:id="rId10"/>
      <w:footerReference w:type="default" r:id="rId11"/>
      <w:pgSz w:w="12240" w:h="15840"/>
      <w:pgMar w:top="2268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3CCB2" w14:textId="77777777" w:rsidR="00E402E4" w:rsidRDefault="00E402E4">
      <w:pPr>
        <w:spacing w:after="0" w:line="240" w:lineRule="auto"/>
      </w:pPr>
      <w:r>
        <w:separator/>
      </w:r>
    </w:p>
  </w:endnote>
  <w:endnote w:type="continuationSeparator" w:id="0">
    <w:p w14:paraId="45FA7197" w14:textId="77777777" w:rsidR="00E402E4" w:rsidRDefault="00E40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D6B183C-F218-4E1A-A4A6-060F948C3D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28518C-4103-4716-BF86-B277935818DE}"/>
    <w:embedBold r:id="rId3" w:fontKey="{EA05A9CE-5DD8-466A-816E-F1E3172B8642}"/>
    <w:embedItalic r:id="rId4" w:fontKey="{0F67518A-458B-4BFF-9BD5-8D655AC1BFC1}"/>
    <w:embedBoldItalic r:id="rId5" w:fontKey="{50495649-AB5E-49BA-AB3B-86E34C515EB1}"/>
  </w:font>
  <w:font w:name="Avenir LT Std 65 Medium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AE802D-8B89-4784-994D-007B6AC98BA3}"/>
    <w:embedItalic r:id="rId7" w:fontKey="{466BFF72-1613-455E-9C9B-7ED09BE14D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348328C-1B3A-408E-A989-277E76EEA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4A37" w14:textId="77777777" w:rsidR="00EB58D1" w:rsidRDefault="00EB58D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960" w:type="dxa"/>
      <w:tblLayout w:type="fixed"/>
      <w:tblLook w:val="0600" w:firstRow="0" w:lastRow="0" w:firstColumn="0" w:lastColumn="0" w:noHBand="1" w:noVBand="1"/>
    </w:tblPr>
    <w:tblGrid>
      <w:gridCol w:w="3320"/>
      <w:gridCol w:w="3320"/>
      <w:gridCol w:w="3320"/>
    </w:tblGrid>
    <w:tr w:rsidR="00EB58D1" w14:paraId="60BCB4BD" w14:textId="77777777">
      <w:tc>
        <w:tcPr>
          <w:tcW w:w="3320" w:type="dxa"/>
        </w:tcPr>
        <w:p w14:paraId="3F83E524" w14:textId="77777777" w:rsidR="00EB58D1" w:rsidRDefault="00EB58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320" w:type="dxa"/>
        </w:tcPr>
        <w:p w14:paraId="41FA62A8" w14:textId="77777777" w:rsidR="00EB58D1" w:rsidRDefault="00EB58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320" w:type="dxa"/>
        </w:tcPr>
        <w:p w14:paraId="3DA792EF" w14:textId="77777777" w:rsidR="00EB58D1" w:rsidRDefault="00EB58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26E8F4D" w14:textId="77777777" w:rsidR="00EB58D1" w:rsidRDefault="00EB58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B6B1F" w14:textId="77777777" w:rsidR="00E402E4" w:rsidRDefault="00E402E4">
      <w:pPr>
        <w:spacing w:after="0" w:line="240" w:lineRule="auto"/>
      </w:pPr>
      <w:r>
        <w:separator/>
      </w:r>
    </w:p>
  </w:footnote>
  <w:footnote w:type="continuationSeparator" w:id="0">
    <w:p w14:paraId="35DEFF80" w14:textId="77777777" w:rsidR="00E402E4" w:rsidRDefault="00E40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8D53C" w14:textId="77777777" w:rsidR="00EB58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F50ADB" wp14:editId="3EAE514B">
          <wp:simplePos x="0" y="0"/>
          <wp:positionH relativeFrom="column">
            <wp:posOffset>-720089</wp:posOffset>
          </wp:positionH>
          <wp:positionV relativeFrom="paragraph">
            <wp:posOffset>-445133</wp:posOffset>
          </wp:positionV>
          <wp:extent cx="7766788" cy="10048139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6788" cy="10048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2F4E"/>
    <w:multiLevelType w:val="multilevel"/>
    <w:tmpl w:val="EEFA8E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844FD"/>
    <w:multiLevelType w:val="multilevel"/>
    <w:tmpl w:val="D88E464C"/>
    <w:lvl w:ilvl="0">
      <w:start w:val="1"/>
      <w:numFmt w:val="bullet"/>
      <w:pStyle w:val="lis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557679"/>
    <w:multiLevelType w:val="multilevel"/>
    <w:tmpl w:val="99AE4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236BC8"/>
    <w:multiLevelType w:val="multilevel"/>
    <w:tmpl w:val="55D6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1F12A1"/>
    <w:multiLevelType w:val="multilevel"/>
    <w:tmpl w:val="B7364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E517BB"/>
    <w:multiLevelType w:val="multilevel"/>
    <w:tmpl w:val="2E2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EE1FF5"/>
    <w:multiLevelType w:val="multilevel"/>
    <w:tmpl w:val="692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811C07"/>
    <w:multiLevelType w:val="multilevel"/>
    <w:tmpl w:val="CF1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2729F9"/>
    <w:multiLevelType w:val="multilevel"/>
    <w:tmpl w:val="D880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2D23B9"/>
    <w:multiLevelType w:val="multilevel"/>
    <w:tmpl w:val="4BFE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6D5A24"/>
    <w:multiLevelType w:val="multilevel"/>
    <w:tmpl w:val="DDA00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13789F"/>
    <w:multiLevelType w:val="multilevel"/>
    <w:tmpl w:val="8B78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6432933">
    <w:abstractNumId w:val="1"/>
  </w:num>
  <w:num w:numId="2" w16cid:durableId="1316253697">
    <w:abstractNumId w:val="4"/>
  </w:num>
  <w:num w:numId="3" w16cid:durableId="1976135147">
    <w:abstractNumId w:val="0"/>
  </w:num>
  <w:num w:numId="4" w16cid:durableId="1232084925">
    <w:abstractNumId w:val="2"/>
  </w:num>
  <w:num w:numId="5" w16cid:durableId="252016134">
    <w:abstractNumId w:val="8"/>
  </w:num>
  <w:num w:numId="6" w16cid:durableId="2068067350">
    <w:abstractNumId w:val="3"/>
  </w:num>
  <w:num w:numId="7" w16cid:durableId="1843741225">
    <w:abstractNumId w:val="11"/>
  </w:num>
  <w:num w:numId="8" w16cid:durableId="877158572">
    <w:abstractNumId w:val="9"/>
  </w:num>
  <w:num w:numId="9" w16cid:durableId="1583639284">
    <w:abstractNumId w:val="7"/>
  </w:num>
  <w:num w:numId="10" w16cid:durableId="743649915">
    <w:abstractNumId w:val="5"/>
  </w:num>
  <w:num w:numId="11" w16cid:durableId="1231622075">
    <w:abstractNumId w:val="6"/>
  </w:num>
  <w:num w:numId="12" w16cid:durableId="19187122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8D1"/>
    <w:rsid w:val="00011F98"/>
    <w:rsid w:val="000C2820"/>
    <w:rsid w:val="002A4992"/>
    <w:rsid w:val="004E6AF1"/>
    <w:rsid w:val="00597937"/>
    <w:rsid w:val="00780300"/>
    <w:rsid w:val="009B04A7"/>
    <w:rsid w:val="00D74094"/>
    <w:rsid w:val="00E402E4"/>
    <w:rsid w:val="00EB58D1"/>
    <w:rsid w:val="00FB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F35F1B"/>
  <w15:docId w15:val="{961EF09D-0F96-4BDE-B05D-41E6703D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570CB3"/>
    <w:pPr>
      <w:keepNext/>
      <w:keepLines/>
      <w:spacing w:after="31"/>
      <w:ind w:left="2122" w:hanging="10"/>
      <w:outlineLvl w:val="1"/>
    </w:pPr>
    <w:rPr>
      <w:b/>
      <w:color w:val="181717"/>
      <w:lang w:eastAsia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link w:val="PrrafodelistaCar"/>
    <w:uiPriority w:val="34"/>
    <w:qFormat/>
    <w:rsid w:val="00E76D8C"/>
    <w:pPr>
      <w:ind w:left="720"/>
      <w:contextualSpacing/>
    </w:pPr>
  </w:style>
  <w:style w:type="paragraph" w:customStyle="1" w:styleId="Tituos">
    <w:name w:val="Tituos"/>
    <w:basedOn w:val="Normal"/>
    <w:link w:val="TituosCar"/>
    <w:qFormat/>
    <w:rsid w:val="00525062"/>
    <w:pPr>
      <w:jc w:val="center"/>
    </w:pPr>
    <w:rPr>
      <w:rFonts w:ascii="Avenir LT Std 65 Medium" w:hAnsi="Avenir LT Std 65 Medium"/>
      <w:color w:val="B11827"/>
      <w:sz w:val="24"/>
      <w:szCs w:val="24"/>
    </w:rPr>
  </w:style>
  <w:style w:type="paragraph" w:customStyle="1" w:styleId="subtitulos">
    <w:name w:val="subtitulos"/>
    <w:basedOn w:val="Tituos"/>
    <w:link w:val="subtitulosCar"/>
    <w:qFormat/>
    <w:rsid w:val="00525062"/>
    <w:pPr>
      <w:jc w:val="left"/>
    </w:pPr>
    <w:rPr>
      <w:sz w:val="22"/>
      <w:szCs w:val="22"/>
    </w:rPr>
  </w:style>
  <w:style w:type="character" w:customStyle="1" w:styleId="TituosCar">
    <w:name w:val="Tituos Car"/>
    <w:basedOn w:val="Fuentedeprrafopredeter"/>
    <w:link w:val="Tituos"/>
    <w:rsid w:val="00525062"/>
    <w:rPr>
      <w:rFonts w:ascii="Avenir LT Std 65 Medium" w:hAnsi="Avenir LT Std 65 Medium"/>
      <w:color w:val="B11827"/>
      <w:sz w:val="24"/>
      <w:szCs w:val="24"/>
    </w:rPr>
  </w:style>
  <w:style w:type="paragraph" w:customStyle="1" w:styleId="listas">
    <w:name w:val="listas"/>
    <w:basedOn w:val="Prrafodelista"/>
    <w:link w:val="listasCar"/>
    <w:qFormat/>
    <w:rsid w:val="00D042AF"/>
    <w:pPr>
      <w:numPr>
        <w:numId w:val="1"/>
      </w:numPr>
      <w:jc w:val="both"/>
    </w:pPr>
    <w:rPr>
      <w:rFonts w:ascii="Avenir LT Std 65 Medium" w:hAnsi="Avenir LT Std 65 Medium"/>
      <w:color w:val="B11827"/>
    </w:rPr>
  </w:style>
  <w:style w:type="character" w:customStyle="1" w:styleId="subtitulosCar">
    <w:name w:val="subtitulos Car"/>
    <w:basedOn w:val="TituosCar"/>
    <w:link w:val="subtitulos"/>
    <w:rsid w:val="00525062"/>
    <w:rPr>
      <w:rFonts w:ascii="Avenir LT Std 65 Medium" w:hAnsi="Avenir LT Std 65 Medium"/>
      <w:color w:val="B11827"/>
      <w:sz w:val="24"/>
      <w:szCs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D042AF"/>
  </w:style>
  <w:style w:type="character" w:customStyle="1" w:styleId="listasCar">
    <w:name w:val="listas Car"/>
    <w:basedOn w:val="PrrafodelistaCar"/>
    <w:link w:val="listas"/>
    <w:rsid w:val="00D042AF"/>
    <w:rPr>
      <w:rFonts w:ascii="Avenir LT Std 65 Medium" w:hAnsi="Avenir LT Std 65 Medium"/>
      <w:color w:val="B11827"/>
    </w:rPr>
  </w:style>
  <w:style w:type="paragraph" w:styleId="Encabezado">
    <w:name w:val="header"/>
    <w:basedOn w:val="Normal"/>
    <w:link w:val="EncabezadoCar"/>
    <w:uiPriority w:val="99"/>
    <w:unhideWhenUsed/>
    <w:rsid w:val="000D1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6C7"/>
  </w:style>
  <w:style w:type="paragraph" w:styleId="Piedepgina">
    <w:name w:val="footer"/>
    <w:basedOn w:val="Normal"/>
    <w:link w:val="PiedepginaCar"/>
    <w:uiPriority w:val="99"/>
    <w:unhideWhenUsed/>
    <w:rsid w:val="000D1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6C7"/>
  </w:style>
  <w:style w:type="table" w:styleId="Tablaconcuadrcula">
    <w:name w:val="Table Grid"/>
    <w:basedOn w:val="Tab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70CB3"/>
    <w:rPr>
      <w:rFonts w:ascii="Calibri" w:eastAsia="Calibri" w:hAnsi="Calibri" w:cs="Calibri"/>
      <w:b/>
      <w:color w:val="181717"/>
      <w:lang w:eastAsia="es-MX"/>
    </w:rPr>
  </w:style>
  <w:style w:type="paragraph" w:styleId="Sinespaciado">
    <w:name w:val="No Spacing"/>
    <w:uiPriority w:val="1"/>
    <w:qFormat/>
    <w:rsid w:val="00570CB3"/>
    <w:pPr>
      <w:spacing w:after="0" w:line="240" w:lineRule="auto"/>
    </w:pPr>
    <w:rPr>
      <w:color w:val="000000"/>
      <w:lang w:eastAsia="es-MX"/>
    </w:rPr>
  </w:style>
  <w:style w:type="paragraph" w:styleId="Descripcin">
    <w:name w:val="caption"/>
    <w:basedOn w:val="Normal"/>
    <w:next w:val="Normal"/>
    <w:unhideWhenUsed/>
    <w:qFormat/>
    <w:rsid w:val="00570CB3"/>
    <w:pPr>
      <w:spacing w:after="200" w:line="360" w:lineRule="auto"/>
      <w:jc w:val="both"/>
    </w:pPr>
    <w:rPr>
      <w:rFonts w:ascii="Arial" w:eastAsia="Times New Roman" w:hAnsi="Arial" w:cs="Times New Roman"/>
      <w:b/>
      <w:bCs/>
      <w:sz w:val="20"/>
      <w:szCs w:val="20"/>
      <w:lang w:bidi="en-US"/>
    </w:rPr>
  </w:style>
  <w:style w:type="table" w:styleId="Tablanormal4">
    <w:name w:val="Plain Table 4"/>
    <w:basedOn w:val="Tablanormal"/>
    <w:uiPriority w:val="44"/>
    <w:rsid w:val="00B471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D3158F"/>
  </w:style>
  <w:style w:type="character" w:customStyle="1" w:styleId="7ContenidodeTablasCar">
    <w:name w:val="7.Contenido de Tablas Car"/>
    <w:basedOn w:val="Fuentedeprrafopredeter"/>
    <w:link w:val="7ContenidodeTablas"/>
    <w:locked/>
    <w:rsid w:val="004E3910"/>
    <w:rPr>
      <w:rFonts w:ascii="Times New Roman" w:hAnsi="Times New Roman" w:cs="Times New Roman"/>
      <w:color w:val="000000" w:themeColor="text1"/>
      <w:sz w:val="16"/>
    </w:rPr>
  </w:style>
  <w:style w:type="paragraph" w:customStyle="1" w:styleId="7ContenidodeTablas">
    <w:name w:val="7.Contenido de Tablas"/>
    <w:next w:val="Normal"/>
    <w:link w:val="7ContenidodeTablasCar"/>
    <w:qFormat/>
    <w:rsid w:val="004E3910"/>
    <w:pPr>
      <w:spacing w:before="120" w:after="120" w:line="240" w:lineRule="auto"/>
    </w:pPr>
    <w:rPr>
      <w:rFonts w:ascii="Times New Roman" w:hAnsi="Times New Roman" w:cs="Times New Roman"/>
      <w:color w:val="000000" w:themeColor="text1"/>
      <w:sz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11F98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11F9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1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ocabularies.unesco.org/browser/thesaurus/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zejuXzT5ysFfrSpmsuOajL9l2w==">CgMxLjA4AHIhMWRxMnB0Y1FjWDVEOXVhVHI1LTBKU2pUQXRCLUpjRHpT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1576</Words>
  <Characters>8810</Characters>
  <Application>Microsoft Office Word</Application>
  <DocSecurity>0</DocSecurity>
  <Lines>163</Lines>
  <Paragraphs>91</Paragraphs>
  <ScaleCrop>false</ScaleCrop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García</dc:creator>
  <cp:lastModifiedBy>Luis Angel Iturralde Carrera</cp:lastModifiedBy>
  <cp:revision>7</cp:revision>
  <dcterms:created xsi:type="dcterms:W3CDTF">2022-05-19T17:47:00Z</dcterms:created>
  <dcterms:modified xsi:type="dcterms:W3CDTF">2025-07-05T17:55:00Z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d9aecb21-bb50-48a5-ac4e-cdf804ca63d4</vt:lpwstr>
  </property>
</Properties>
</file>